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黑体" w:cs="Times New Roman"/>
          <w:b/>
          <w:sz w:val="52"/>
          <w:szCs w:val="52"/>
        </w:rPr>
      </w:pPr>
    </w:p>
    <w:p>
      <w:pPr>
        <w:spacing w:line="360" w:lineRule="auto"/>
        <w:jc w:val="center"/>
        <w:rPr>
          <w:rFonts w:ascii="Times New Roman" w:hAnsi="Times New Roman" w:eastAsia="黑体" w:cs="Times New Roman"/>
          <w:b/>
          <w:sz w:val="52"/>
          <w:szCs w:val="52"/>
        </w:rPr>
      </w:pPr>
    </w:p>
    <w:p>
      <w:pPr>
        <w:keepNext w:val="0"/>
        <w:keepLines w:val="0"/>
        <w:pageBreakBefore w:val="0"/>
        <w:widowControl w:val="0"/>
        <w:kinsoku/>
        <w:wordWrap/>
        <w:overflowPunct/>
        <w:topLinePunct w:val="0"/>
        <w:autoSpaceDE/>
        <w:autoSpaceDN/>
        <w:bidi w:val="0"/>
        <w:adjustRightInd/>
        <w:snapToGrid/>
        <w:spacing w:before="240" w:after="120" w:line="360" w:lineRule="auto"/>
        <w:ind w:firstLine="0" w:firstLineChars="0"/>
        <w:jc w:val="center"/>
        <w:textAlignment w:val="auto"/>
        <w:rPr>
          <w:rFonts w:hint="eastAsia" w:ascii="Times New Roman" w:hAnsi="Times New Roman" w:eastAsia="黑体" w:cs="Times New Roman"/>
          <w:b/>
          <w:sz w:val="52"/>
          <w:szCs w:val="52"/>
        </w:rPr>
      </w:pPr>
      <w:r>
        <w:rPr>
          <w:rFonts w:hint="eastAsia" w:ascii="Times New Roman" w:hAnsi="Times New Roman" w:eastAsia="黑体" w:cs="Times New Roman"/>
          <w:b/>
          <w:sz w:val="52"/>
          <w:szCs w:val="52"/>
        </w:rPr>
        <w:t>福建省综合立体交通网规划纲要</w:t>
      </w:r>
    </w:p>
    <w:p>
      <w:pPr>
        <w:keepNext w:val="0"/>
        <w:keepLines w:val="0"/>
        <w:pageBreakBefore w:val="0"/>
        <w:widowControl w:val="0"/>
        <w:kinsoku/>
        <w:wordWrap/>
        <w:overflowPunct/>
        <w:topLinePunct w:val="0"/>
        <w:autoSpaceDE/>
        <w:autoSpaceDN/>
        <w:bidi w:val="0"/>
        <w:adjustRightInd/>
        <w:snapToGrid/>
        <w:spacing w:before="240" w:after="120" w:line="360" w:lineRule="auto"/>
        <w:ind w:firstLine="0" w:firstLineChars="0"/>
        <w:jc w:val="center"/>
        <w:textAlignment w:val="auto"/>
        <w:rPr>
          <w:rFonts w:ascii="Times New Roman" w:hAnsi="Times New Roman" w:eastAsia="黑体" w:cs="Times New Roman"/>
          <w:b/>
          <w:sz w:val="52"/>
          <w:szCs w:val="52"/>
        </w:rPr>
      </w:pPr>
      <w:r>
        <w:rPr>
          <w:rFonts w:hint="eastAsia" w:ascii="Times New Roman" w:hAnsi="Times New Roman" w:eastAsia="黑体" w:cs="Times New Roman"/>
          <w:b/>
          <w:sz w:val="52"/>
          <w:szCs w:val="52"/>
        </w:rPr>
        <w:t>环境影响报告书</w:t>
      </w:r>
    </w:p>
    <w:p>
      <w:pPr>
        <w:keepNext w:val="0"/>
        <w:keepLines w:val="0"/>
        <w:pageBreakBefore w:val="0"/>
        <w:widowControl w:val="0"/>
        <w:kinsoku/>
        <w:wordWrap/>
        <w:overflowPunct/>
        <w:topLinePunct w:val="0"/>
        <w:autoSpaceDE/>
        <w:autoSpaceDN/>
        <w:bidi w:val="0"/>
        <w:adjustRightInd/>
        <w:snapToGrid/>
        <w:spacing w:before="240" w:after="120" w:line="360" w:lineRule="auto"/>
        <w:ind w:firstLine="0" w:firstLineChars="0"/>
        <w:jc w:val="center"/>
        <w:textAlignment w:val="auto"/>
        <w:rPr>
          <w:rFonts w:ascii="Times New Roman" w:hAnsi="Times New Roman" w:eastAsia="宋体" w:cs="Times New Roman"/>
          <w:b/>
          <w:sz w:val="36"/>
          <w:szCs w:val="36"/>
        </w:rPr>
      </w:pPr>
      <w:r>
        <w:rPr>
          <w:rFonts w:ascii="Times New Roman" w:hAnsi="Times New Roman" w:eastAsia="宋体" w:cs="Times New Roman"/>
          <w:b/>
          <w:sz w:val="36"/>
          <w:szCs w:val="36"/>
        </w:rPr>
        <w:t>（</w:t>
      </w:r>
      <w:r>
        <w:rPr>
          <w:rFonts w:hint="eastAsia" w:ascii="Times New Roman" w:hAnsi="Times New Roman" w:eastAsia="宋体" w:cs="Times New Roman"/>
          <w:b/>
          <w:sz w:val="36"/>
          <w:szCs w:val="36"/>
        </w:rPr>
        <w:t>简本</w:t>
      </w:r>
      <w:r>
        <w:rPr>
          <w:rFonts w:ascii="Times New Roman" w:hAnsi="Times New Roman" w:eastAsia="宋体" w:cs="Times New Roman"/>
          <w:b/>
          <w:sz w:val="36"/>
          <w:szCs w:val="36"/>
        </w:rPr>
        <w:t>）</w:t>
      </w:r>
    </w:p>
    <w:p>
      <w:pPr>
        <w:keepNext w:val="0"/>
        <w:keepLines w:val="0"/>
        <w:pageBreakBefore w:val="0"/>
        <w:widowControl w:val="0"/>
        <w:kinsoku/>
        <w:wordWrap/>
        <w:overflowPunct/>
        <w:topLinePunct w:val="0"/>
        <w:autoSpaceDE/>
        <w:autoSpaceDN/>
        <w:bidi w:val="0"/>
        <w:adjustRightInd/>
        <w:snapToGrid/>
        <w:spacing w:before="240" w:after="120" w:line="360" w:lineRule="auto"/>
        <w:ind w:firstLine="0" w:firstLineChars="0"/>
        <w:jc w:val="center"/>
        <w:textAlignment w:val="auto"/>
        <w:rPr>
          <w:rFonts w:ascii="Times New Roman" w:hAnsi="Times New Roman" w:eastAsia="宋体" w:cs="Times New Roman"/>
          <w:b/>
          <w:sz w:val="36"/>
          <w:szCs w:val="36"/>
        </w:rPr>
      </w:pPr>
    </w:p>
    <w:p>
      <w:pPr>
        <w:keepNext w:val="0"/>
        <w:keepLines w:val="0"/>
        <w:pageBreakBefore w:val="0"/>
        <w:widowControl w:val="0"/>
        <w:kinsoku/>
        <w:wordWrap/>
        <w:overflowPunct/>
        <w:topLinePunct w:val="0"/>
        <w:autoSpaceDE/>
        <w:autoSpaceDN/>
        <w:bidi w:val="0"/>
        <w:adjustRightInd/>
        <w:snapToGrid/>
        <w:spacing w:before="240" w:after="120" w:line="360" w:lineRule="auto"/>
        <w:ind w:firstLine="0" w:firstLineChars="0"/>
        <w:jc w:val="center"/>
        <w:textAlignment w:val="auto"/>
        <w:rPr>
          <w:rFonts w:ascii="Times New Roman" w:hAnsi="Times New Roman" w:eastAsia="宋体" w:cs="Times New Roman"/>
          <w:b/>
          <w:sz w:val="36"/>
          <w:szCs w:val="36"/>
        </w:rPr>
      </w:pPr>
    </w:p>
    <w:p>
      <w:pPr>
        <w:keepNext w:val="0"/>
        <w:keepLines w:val="0"/>
        <w:pageBreakBefore w:val="0"/>
        <w:widowControl w:val="0"/>
        <w:kinsoku/>
        <w:wordWrap/>
        <w:overflowPunct/>
        <w:topLinePunct w:val="0"/>
        <w:autoSpaceDE/>
        <w:autoSpaceDN/>
        <w:bidi w:val="0"/>
        <w:adjustRightInd/>
        <w:snapToGrid/>
        <w:spacing w:before="240" w:after="120" w:line="360" w:lineRule="auto"/>
        <w:ind w:firstLine="0" w:firstLineChars="0"/>
        <w:jc w:val="center"/>
        <w:textAlignment w:val="auto"/>
        <w:rPr>
          <w:rFonts w:ascii="Times New Roman" w:hAnsi="Times New Roman" w:eastAsia="宋体" w:cs="Times New Roman"/>
          <w:b/>
          <w:sz w:val="36"/>
          <w:szCs w:val="36"/>
        </w:rPr>
      </w:pPr>
    </w:p>
    <w:p>
      <w:pPr>
        <w:keepNext w:val="0"/>
        <w:keepLines w:val="0"/>
        <w:pageBreakBefore w:val="0"/>
        <w:widowControl w:val="0"/>
        <w:kinsoku/>
        <w:wordWrap/>
        <w:overflowPunct/>
        <w:topLinePunct w:val="0"/>
        <w:autoSpaceDE/>
        <w:autoSpaceDN/>
        <w:bidi w:val="0"/>
        <w:adjustRightInd/>
        <w:snapToGrid/>
        <w:spacing w:before="240" w:after="120" w:line="360" w:lineRule="auto"/>
        <w:ind w:firstLine="0" w:firstLineChars="0"/>
        <w:jc w:val="center"/>
        <w:textAlignment w:val="auto"/>
        <w:rPr>
          <w:rFonts w:ascii="Times New Roman" w:hAnsi="Times New Roman" w:eastAsia="宋体" w:cs="Times New Roman"/>
          <w:b/>
          <w:sz w:val="36"/>
          <w:szCs w:val="36"/>
        </w:rPr>
      </w:pPr>
    </w:p>
    <w:p>
      <w:pPr>
        <w:keepNext w:val="0"/>
        <w:keepLines w:val="0"/>
        <w:pageBreakBefore w:val="0"/>
        <w:widowControl w:val="0"/>
        <w:kinsoku/>
        <w:wordWrap/>
        <w:overflowPunct/>
        <w:topLinePunct w:val="0"/>
        <w:autoSpaceDE/>
        <w:autoSpaceDN/>
        <w:bidi w:val="0"/>
        <w:adjustRightInd/>
        <w:snapToGrid/>
        <w:spacing w:before="240" w:after="120" w:line="360" w:lineRule="auto"/>
        <w:ind w:firstLine="0" w:firstLineChars="0"/>
        <w:jc w:val="center"/>
        <w:textAlignment w:val="auto"/>
        <w:rPr>
          <w:rFonts w:ascii="Times New Roman" w:hAnsi="Times New Roman" w:eastAsia="宋体" w:cs="Times New Roman"/>
          <w:b/>
          <w:sz w:val="36"/>
          <w:szCs w:val="36"/>
        </w:rPr>
      </w:pPr>
    </w:p>
    <w:p>
      <w:pPr>
        <w:keepNext w:val="0"/>
        <w:keepLines w:val="0"/>
        <w:pageBreakBefore w:val="0"/>
        <w:widowControl w:val="0"/>
        <w:kinsoku/>
        <w:wordWrap/>
        <w:overflowPunct/>
        <w:topLinePunct w:val="0"/>
        <w:autoSpaceDE/>
        <w:autoSpaceDN/>
        <w:bidi w:val="0"/>
        <w:adjustRightInd/>
        <w:snapToGrid/>
        <w:spacing w:before="240" w:after="120" w:line="360" w:lineRule="auto"/>
        <w:ind w:firstLine="0" w:firstLineChars="0"/>
        <w:jc w:val="center"/>
        <w:textAlignment w:val="auto"/>
        <w:rPr>
          <w:rFonts w:ascii="Times New Roman" w:hAnsi="Times New Roman" w:eastAsia="宋体" w:cs="Times New Roman"/>
          <w:b/>
          <w:sz w:val="36"/>
          <w:szCs w:val="36"/>
        </w:rPr>
      </w:pPr>
    </w:p>
    <w:p>
      <w:pPr>
        <w:keepNext w:val="0"/>
        <w:keepLines w:val="0"/>
        <w:pageBreakBefore w:val="0"/>
        <w:widowControl w:val="0"/>
        <w:kinsoku/>
        <w:wordWrap/>
        <w:overflowPunct/>
        <w:topLinePunct w:val="0"/>
        <w:autoSpaceDE/>
        <w:autoSpaceDN/>
        <w:bidi w:val="0"/>
        <w:adjustRightInd/>
        <w:snapToGrid/>
        <w:spacing w:before="240" w:after="120" w:line="360" w:lineRule="auto"/>
        <w:ind w:firstLine="0" w:firstLineChars="0"/>
        <w:jc w:val="center"/>
        <w:textAlignment w:val="auto"/>
        <w:rPr>
          <w:rFonts w:ascii="Times New Roman" w:hAnsi="Times New Roman" w:eastAsia="宋体" w:cs="Times New Roman"/>
          <w:b/>
          <w:sz w:val="36"/>
          <w:szCs w:val="36"/>
        </w:rPr>
      </w:pPr>
    </w:p>
    <w:p>
      <w:pPr>
        <w:keepNext w:val="0"/>
        <w:keepLines w:val="0"/>
        <w:pageBreakBefore w:val="0"/>
        <w:widowControl w:val="0"/>
        <w:kinsoku/>
        <w:wordWrap/>
        <w:overflowPunct/>
        <w:topLinePunct w:val="0"/>
        <w:autoSpaceDE/>
        <w:autoSpaceDN/>
        <w:bidi w:val="0"/>
        <w:adjustRightInd/>
        <w:snapToGrid/>
        <w:spacing w:after="120"/>
        <w:ind w:left="1800" w:right="1596" w:firstLine="0" w:firstLineChars="0"/>
        <w:textAlignment w:val="auto"/>
        <w:rPr>
          <w:rFonts w:ascii="Times New Roman" w:hAnsi="Times New Roman" w:eastAsia="黑体" w:cs="Times New Roman"/>
          <w:sz w:val="32"/>
          <w:szCs w:val="20"/>
        </w:rPr>
      </w:pPr>
      <w:r>
        <w:rPr>
          <w:rFonts w:ascii="Times New Roman" w:hAnsi="Times New Roman" w:eastAsia="宋体" w:cs="Times New Roman"/>
          <w:b/>
          <w:sz w:val="32"/>
          <w:szCs w:val="20"/>
        </w:rPr>
        <w:t>交 通 运 输 部 规 划 研 究 院</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eastAsia="宋体" w:cs="Times New Roman"/>
          <w:b/>
          <w:sz w:val="32"/>
          <w:szCs w:val="20"/>
        </w:rPr>
      </w:pPr>
      <w:r>
        <w:rPr>
          <w:rFonts w:ascii="Times New Roman" w:hAnsi="Times New Roman" w:eastAsia="黑体" w:cs="Times New Roman"/>
          <w:b/>
          <w:sz w:val="32"/>
          <w:szCs w:val="20"/>
        </w:rPr>
        <w:t xml:space="preserve">  2022</w:t>
      </w:r>
      <w:r>
        <w:rPr>
          <w:rFonts w:ascii="Times New Roman" w:hAnsi="Times New Roman" w:eastAsia="宋体" w:cs="Times New Roman"/>
          <w:b/>
          <w:sz w:val="32"/>
          <w:szCs w:val="20"/>
        </w:rPr>
        <w:t>年</w:t>
      </w:r>
      <w:r>
        <w:rPr>
          <w:rFonts w:ascii="Times New Roman" w:hAnsi="Times New Roman" w:eastAsia="黑体" w:cs="Times New Roman"/>
          <w:b/>
          <w:sz w:val="32"/>
          <w:szCs w:val="20"/>
        </w:rPr>
        <w:t>03</w:t>
      </w:r>
      <w:r>
        <w:rPr>
          <w:rFonts w:ascii="Times New Roman" w:hAnsi="Times New Roman" w:eastAsia="宋体" w:cs="Times New Roman"/>
          <w:b/>
          <w:sz w:val="32"/>
          <w:szCs w:val="20"/>
        </w:rPr>
        <w:t>月</w:t>
      </w:r>
    </w:p>
    <w:p>
      <w:pPr>
        <w:tabs>
          <w:tab w:val="left" w:pos="4164"/>
          <w:tab w:val="center" w:pos="4514"/>
        </w:tabs>
        <w:spacing w:before="240" w:after="120" w:line="360" w:lineRule="auto"/>
        <w:ind w:firstLine="723" w:firstLineChars="200"/>
        <w:jc w:val="left"/>
        <w:rPr>
          <w:rFonts w:ascii="Times New Roman" w:hAnsi="Times New Roman" w:eastAsia="黑体" w:cs="Times New Roman"/>
          <w:bCs/>
          <w:kern w:val="44"/>
          <w:sz w:val="32"/>
          <w:szCs w:val="44"/>
        </w:rPr>
        <w:sectPr>
          <w:footerReference r:id="rId3" w:type="default"/>
          <w:pgSz w:w="11906" w:h="16838"/>
          <w:pgMar w:top="1440" w:right="1800" w:bottom="1440" w:left="1800" w:header="851" w:footer="992" w:gutter="0"/>
          <w:pgNumType w:start="1"/>
          <w:cols w:space="425" w:num="1"/>
          <w:docGrid w:type="lines" w:linePitch="312" w:charSpace="0"/>
        </w:sectPr>
      </w:pPr>
      <w:r>
        <w:rPr>
          <w:rFonts w:ascii="Times New Roman" w:hAnsi="Times New Roman" w:eastAsia="宋体" w:cs="Times New Roman"/>
          <w:b/>
          <w:sz w:val="36"/>
          <w:szCs w:val="36"/>
        </w:rPr>
        <w:tab/>
      </w:r>
      <w:bookmarkStart w:id="0" w:name="_Toc78151559"/>
    </w:p>
    <w:p>
      <w:pPr>
        <w:keepNext/>
        <w:keepLines/>
        <w:spacing w:after="120"/>
        <w:outlineLvl w:val="0"/>
        <w:rPr>
          <w:rFonts w:ascii="Times New Roman" w:hAnsi="Times New Roman" w:eastAsia="黑体" w:cs="Times New Roman"/>
          <w:bCs/>
          <w:kern w:val="44"/>
          <w:sz w:val="32"/>
          <w:szCs w:val="44"/>
        </w:rPr>
      </w:pPr>
      <w:r>
        <w:rPr>
          <w:rFonts w:hint="eastAsia" w:ascii="Times New Roman" w:hAnsi="Times New Roman" w:eastAsia="黑体" w:cs="Times New Roman"/>
          <w:bCs/>
          <w:kern w:val="44"/>
          <w:sz w:val="32"/>
          <w:szCs w:val="44"/>
        </w:rPr>
        <w:t>1</w:t>
      </w:r>
      <w:bookmarkEnd w:id="0"/>
      <w:r>
        <w:rPr>
          <w:rFonts w:hint="eastAsia" w:ascii="Times New Roman" w:hAnsi="Times New Roman" w:eastAsia="黑体" w:cs="Times New Roman"/>
          <w:bCs/>
          <w:kern w:val="44"/>
          <w:sz w:val="32"/>
          <w:szCs w:val="44"/>
        </w:rPr>
        <w:t>项目背景</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福建省是我国南方地区重要的生态屏障，为支持福建省深入实施生态省战略，加快生态文明先行示范区建设，增强引领示范效应，早在</w:t>
      </w:r>
      <w:r>
        <w:rPr>
          <w:rFonts w:ascii="Times New Roman" w:hAnsi="Times New Roman" w:eastAsia="宋体" w:cs="Times New Roman"/>
          <w:sz w:val="24"/>
        </w:rPr>
        <w:t>2014年国务院就正式印发了《关于支持福建省深入实施生态省战略加快生态文明先行示范区建设的若干意见》，福建成为了全国第一个生态文明先行示范区，标志着福建的生态省建设由地方决策上升为国家战略，福建生态省建设步入了全国生态文明先行示范区的新阶段。交通基础设施不可避免地占用土地，扰动环境，部分交通基础设施建设还</w:t>
      </w:r>
      <w:r>
        <w:rPr>
          <w:rFonts w:hint="eastAsia" w:ascii="Times New Roman" w:hAnsi="Times New Roman" w:eastAsia="宋体" w:cs="Times New Roman"/>
          <w:sz w:val="24"/>
          <w:lang w:eastAsia="zh-CN"/>
        </w:rPr>
        <w:t>可能涉及</w:t>
      </w:r>
      <w:r>
        <w:rPr>
          <w:rFonts w:ascii="Times New Roman" w:hAnsi="Times New Roman" w:eastAsia="宋体" w:cs="Times New Roman"/>
          <w:sz w:val="24"/>
        </w:rPr>
        <w:t>到自然保护区、风景名胜区、饮用水源保护区等环境敏感区。开展</w:t>
      </w:r>
      <w:r>
        <w:rPr>
          <w:rFonts w:hint="eastAsia" w:ascii="Times New Roman" w:hAnsi="Times New Roman" w:eastAsia="宋体" w:cs="Times New Roman"/>
          <w:sz w:val="24"/>
          <w:lang w:eastAsia="zh-CN"/>
        </w:rPr>
        <w:t>《</w:t>
      </w:r>
      <w:r>
        <w:rPr>
          <w:rFonts w:ascii="Times New Roman" w:hAnsi="Times New Roman" w:eastAsia="宋体" w:cs="Times New Roman"/>
          <w:sz w:val="24"/>
        </w:rPr>
        <w:t>福建省综合立体交通网规划</w:t>
      </w:r>
      <w:r>
        <w:rPr>
          <w:rFonts w:hint="eastAsia" w:ascii="Times New Roman" w:hAnsi="Times New Roman" w:eastAsia="宋体" w:cs="Times New Roman"/>
          <w:sz w:val="24"/>
          <w:lang w:eastAsia="zh-CN"/>
        </w:rPr>
        <w:t>纲要》</w:t>
      </w:r>
      <w:r>
        <w:rPr>
          <w:rFonts w:ascii="Times New Roman" w:hAnsi="Times New Roman" w:eastAsia="宋体" w:cs="Times New Roman"/>
          <w:sz w:val="24"/>
        </w:rPr>
        <w:t>环</w:t>
      </w:r>
      <w:r>
        <w:rPr>
          <w:rFonts w:hint="eastAsia" w:ascii="Times New Roman" w:hAnsi="Times New Roman" w:eastAsia="宋体" w:cs="Times New Roman"/>
          <w:sz w:val="24"/>
        </w:rPr>
        <w:t>境影响评价，以福建省环境容量和生态环境功能区划为基本依据，统筹经济社会和人口资源环境，统筹区域发展、城乡发展和产业发展，可以实现在保护中发展、在发展中保护，是贯彻落实习近平生态文明思想、促进福建省经济社会全面协调可持续发展的必然要求。</w:t>
      </w:r>
    </w:p>
    <w:p>
      <w:pPr>
        <w:spacing w:after="12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2016年9月1日开始实施新的《中华人民共和国环境影响评价法》，不仅为我国宏观战略决策提供科学依据，也为环境保护部门的执法监督提供立法依据，战略环境评价将会逐步进入我国的综合决策和立法领域。只有在国家综合决策领域引入战略环境评价，才能真正达到环境与经济的协调发展。《中华人民共和国环境影响评价法》第八条、《规划环境影响评价条例》第二条，均明确规定“国务院有关部门、设区的市级以上地方人民政府及其有关部门，对其组织编制的土地利用的有关规划和区域、流域、海域的建设、开发利用规划，以及工业、农业、畜牧业、林业、能源、</w:t>
      </w:r>
      <w:r>
        <w:rPr>
          <w:rFonts w:hint="eastAsia" w:ascii="Times New Roman" w:hAnsi="Times New Roman" w:eastAsia="宋体" w:cs="Times New Roman"/>
          <w:sz w:val="24"/>
        </w:rPr>
        <w:t>水利、交通、城市建设、旅游、自然资源开发的有关专项规划，应当进行环境影响评价”。</w:t>
      </w:r>
      <w:r>
        <w:rPr>
          <w:rFonts w:ascii="Times New Roman" w:hAnsi="Times New Roman" w:eastAsia="宋体" w:cs="Times New Roman"/>
          <w:sz w:val="24"/>
        </w:rPr>
        <w:t>2007年，国家环保总局、国家发改委、交通部联合印发了《关于加强公路规划和建设环境影响评价工作的通知》（环发〔2007〕184号）；2012年，环境保护部、交通运输部再次联合印发《关于进一步加强公路水路交通运输规划环境影响评价工作的通知》（环发〔2012〕49号），明确提出综合交通运输体系规划需要编制环境影响报告书并且提出交通运输行政主管部门应严格执行规划环境影响评价制度。根据以上相关要求，应依法开展环境影响评价工作。</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开展福建省综合立体交通网规划</w:t>
      </w:r>
      <w:r>
        <w:rPr>
          <w:rFonts w:hint="eastAsia" w:ascii="Times New Roman" w:hAnsi="Times New Roman" w:eastAsia="宋体" w:cs="Times New Roman"/>
          <w:sz w:val="24"/>
          <w:lang w:eastAsia="zh-CN"/>
        </w:rPr>
        <w:t>纲要</w:t>
      </w:r>
      <w:r>
        <w:rPr>
          <w:rFonts w:hint="eastAsia" w:ascii="Times New Roman" w:hAnsi="Times New Roman" w:eastAsia="宋体" w:cs="Times New Roman"/>
          <w:sz w:val="24"/>
        </w:rPr>
        <w:t>环境影响评价，是推进科学决策、提高交通运输规划质量水平的有效手段，是支撑福建省交通运输高质量发展的重要举措。通过对规划实施后可能造成的环境影响进行分析、预测和评价，并结合生态功能区划、土地利用总体、声环境功能区划及其他相关规划，按照“统筹规划、合理布局、保护生态、有序发展”的原则，科学合理地确定交通运输布局、规模和技术标准，优化交通运输资源配置，完善综合立体网结构，从源头预防或减轻环境污染和生态破坏，促进经济、社会和环境的全面协调可持续发展。</w:t>
      </w:r>
    </w:p>
    <w:p>
      <w:pPr>
        <w:keepNext/>
        <w:keepLines/>
        <w:spacing w:after="120"/>
        <w:outlineLvl w:val="0"/>
        <w:rPr>
          <w:rFonts w:ascii="Times New Roman" w:hAnsi="Times New Roman" w:eastAsia="黑体" w:cs="Times New Roman"/>
          <w:bCs/>
          <w:kern w:val="44"/>
          <w:sz w:val="32"/>
          <w:szCs w:val="44"/>
        </w:rPr>
      </w:pPr>
      <w:bookmarkStart w:id="1" w:name="_Toc78151566"/>
      <w:r>
        <w:rPr>
          <w:rFonts w:ascii="Times New Roman" w:hAnsi="Times New Roman" w:eastAsia="黑体" w:cs="Times New Roman"/>
          <w:bCs/>
          <w:kern w:val="44"/>
          <w:sz w:val="32"/>
          <w:szCs w:val="44"/>
        </w:rPr>
        <w:t>2</w:t>
      </w:r>
      <w:r>
        <w:rPr>
          <w:rFonts w:hint="eastAsia" w:ascii="Times New Roman" w:hAnsi="Times New Roman" w:eastAsia="黑体" w:cs="Times New Roman"/>
          <w:bCs/>
          <w:kern w:val="44"/>
          <w:sz w:val="32"/>
          <w:szCs w:val="44"/>
        </w:rPr>
        <w:t>规划概述与分析</w:t>
      </w:r>
      <w:bookmarkEnd w:id="1"/>
    </w:p>
    <w:p>
      <w:pPr>
        <w:spacing w:after="120"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到2035年，建成交通强国先行区，形成安全、便捷、高效、绿色、经济的现代化综合交通运输体系，交通基础设施达到世界先进水平，综合交通运输发展持续保持全国领先。“21世纪海上丝绸之路”核心枢纽基本建成；建成两岸往来的便捷枢纽；建成福建“211”交通圈，融入“全国123出行交通圈”“全球123快货物流圈”；城乡区域交通协调发展达到新高度，基本建成全国重要的交通科技创新中心，交通设施实现数字化及智慧管理；建成绿色生态交通走廊；现代交通运输服务业规模、质量、效益居全国前列；为我省基本实现全方位高质量发展超越和“机制活、产业优、百姓富、生态美”新福建新局面提供坚实交通基础保障。</w:t>
      </w:r>
    </w:p>
    <w:p>
      <w:pPr>
        <w:spacing w:after="120"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网络结构显著优化。综合立体交通网实体线网规模达到19万公里，其中快速网1.3万公里、干线网2.3万公里、基础网15.4万公里。快速网发达、干线网完善、基础网覆盖广泛，综合交通一体化融合，城际、城市、城乡交通三网衔接顺畅，全省超过95%的人口享受1小时内快速交通服务，设区市中心城区至综合客运枢纽半小时可达，中心城区综合客运枢纽之间公共交通转换时间不超过1小时。基本实现乡镇15分钟上国省道、30分钟上高速公路，县级行政中心30分钟上铁路，市地级行政中心15分钟上高铁、60分钟到机场。</w:t>
      </w:r>
    </w:p>
    <w:p>
      <w:pPr>
        <w:spacing w:after="120"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枢纽能级实现跃升。以福州、厦漳泉两大都市圈为核心的现代化港口群、机场群在国际国内运输网络中的比较优势凸显。港口群、机场群、产业群、城市群联动发展，枢纽优势、海洋优势加速向产业优势和发展优势转化，支撑高质量发展超越的枢纽能级越上新台阶。建成厦门国际枢纽海港和福州国际深水大港，全省沿海港口万吨级以上泊位达到230个以上，吞吐能力达到12亿吨，集装箱吞吐能力近4000万标箱。以国际干线为骨干、近洋支线和内支线为支撑、内贸线为补充的“丝路海运”航线体系基本形成；做优做强亚欧国际货运班列，打造衔接“一带一路”的重要国际陆港。以厦门、福州机场为核心的省级机场辐射范围、服务品质、市场竞争力显著提升，航线网络通达全球重点地区。</w:t>
      </w:r>
    </w:p>
    <w:p>
      <w:pPr>
        <w:spacing w:after="120"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发展方式集约高效。通道、岸线资源利用集约化水平大幅提高，主要通道立体多元，大型港站无缝衔接、规模化发展。设施利用更加高效，多式联运占比、换装效率显著提高，运输结构更加优化，运输组织方式更先进，物流成本进一步降低。绿色交通发展成效明显，基本实现交通基础设施建设全过程、全周期绿色化，单位运输周转量能耗不断降低，力争实现交通运输二氧化碳排放率先达峰，交通污染防治达到世界先进水平。</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到本世纪中叶，全面建成人民满意、保障有力、国内一流的综合交通运输体系；新技术广泛应用，实现数字化、网络化、智能化、绿色化；出行安全便捷舒适，物流高效经济可靠，实现“人享其行、物优其流”；现代化高质量综合立体交通网成为两岸共同繁荣的桥梁和纽带，为实现全面建成社会主义现代化强国发挥福建先行作用。福建省综合立体交通网发展主要指标如</w:t>
      </w:r>
      <w:r>
        <w:rPr>
          <w:rFonts w:ascii="Times New Roman" w:hAnsi="Times New Roman" w:eastAsia="宋体" w:cs="Times New Roman"/>
          <w:sz w:val="24"/>
        </w:rPr>
        <w:t>下表所示。</w:t>
      </w:r>
    </w:p>
    <w:p>
      <w:pPr>
        <w:pStyle w:val="28"/>
        <w:rPr>
          <w:rFonts w:ascii="宋体" w:hAnsi="宋体" w:eastAsia="宋体"/>
          <w:sz w:val="24"/>
          <w:szCs w:val="24"/>
        </w:rPr>
      </w:pPr>
      <w:r>
        <w:rPr>
          <w:rFonts w:ascii="宋体" w:hAnsi="宋体" w:eastAsia="宋体"/>
          <w:sz w:val="24"/>
          <w:szCs w:val="24"/>
        </w:rPr>
        <w:t>表2.1-1  福建综合立体交通网规模与结构</w:t>
      </w:r>
    </w:p>
    <w:tbl>
      <w:tblPr>
        <w:tblStyle w:val="14"/>
        <w:tblW w:w="8275" w:type="dxa"/>
        <w:jc w:val="center"/>
        <w:tblInd w:w="0" w:type="dxa"/>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29" w:type="dxa"/>
          <w:left w:w="28" w:type="dxa"/>
          <w:bottom w:w="29" w:type="dxa"/>
          <w:right w:w="28" w:type="dxa"/>
        </w:tblCellMar>
      </w:tblPr>
      <w:tblGrid>
        <w:gridCol w:w="615"/>
        <w:gridCol w:w="540"/>
        <w:gridCol w:w="5293"/>
        <w:gridCol w:w="917"/>
        <w:gridCol w:w="910"/>
      </w:tblGrid>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29" w:type="dxa"/>
            <w:left w:w="28" w:type="dxa"/>
            <w:bottom w:w="29" w:type="dxa"/>
            <w:right w:w="28" w:type="dxa"/>
          </w:tblCellMar>
        </w:tblPrEx>
        <w:trPr>
          <w:trHeight w:val="331" w:hRule="atLeast"/>
          <w:jc w:val="center"/>
        </w:trPr>
        <w:tc>
          <w:tcPr>
            <w:tcW w:w="615" w:type="dxa"/>
            <w:shd w:val="clear" w:color="auto" w:fill="FFFFFF"/>
            <w:vAlign w:val="center"/>
          </w:tcPr>
          <w:p>
            <w:pPr>
              <w:pStyle w:val="27"/>
              <w:rPr>
                <w:b/>
                <w:bCs/>
                <w:color w:val="auto"/>
              </w:rPr>
            </w:pPr>
            <w:r>
              <w:rPr>
                <w:b/>
                <w:bCs/>
                <w:color w:val="auto"/>
              </w:rPr>
              <w:t>类别</w:t>
            </w:r>
          </w:p>
        </w:tc>
        <w:tc>
          <w:tcPr>
            <w:tcW w:w="540" w:type="dxa"/>
            <w:shd w:val="clear" w:color="auto" w:fill="FFFFFF"/>
            <w:vAlign w:val="center"/>
          </w:tcPr>
          <w:p>
            <w:pPr>
              <w:pStyle w:val="27"/>
              <w:rPr>
                <w:b/>
                <w:bCs/>
                <w:color w:val="auto"/>
              </w:rPr>
            </w:pPr>
            <w:r>
              <w:rPr>
                <w:b/>
                <w:bCs/>
                <w:color w:val="auto"/>
              </w:rPr>
              <w:t>序号</w:t>
            </w:r>
          </w:p>
        </w:tc>
        <w:tc>
          <w:tcPr>
            <w:tcW w:w="5293" w:type="dxa"/>
            <w:shd w:val="clear" w:color="auto" w:fill="FFFFFF"/>
            <w:vAlign w:val="center"/>
          </w:tcPr>
          <w:p>
            <w:pPr>
              <w:pStyle w:val="27"/>
              <w:rPr>
                <w:b/>
                <w:bCs/>
                <w:color w:val="auto"/>
              </w:rPr>
            </w:pPr>
            <w:r>
              <w:rPr>
                <w:b/>
                <w:bCs/>
                <w:color w:val="auto"/>
              </w:rPr>
              <w:t>指标名称</w:t>
            </w:r>
          </w:p>
        </w:tc>
        <w:tc>
          <w:tcPr>
            <w:tcW w:w="917" w:type="dxa"/>
            <w:shd w:val="clear" w:color="auto" w:fill="FFFFFF"/>
            <w:vAlign w:val="center"/>
          </w:tcPr>
          <w:p>
            <w:pPr>
              <w:pStyle w:val="27"/>
              <w:rPr>
                <w:b/>
                <w:bCs/>
                <w:color w:val="auto"/>
              </w:rPr>
            </w:pPr>
            <w:r>
              <w:rPr>
                <w:b/>
                <w:bCs/>
                <w:color w:val="auto"/>
              </w:rPr>
              <w:t>2020年</w:t>
            </w:r>
          </w:p>
        </w:tc>
        <w:tc>
          <w:tcPr>
            <w:tcW w:w="910" w:type="dxa"/>
            <w:shd w:val="clear" w:color="auto" w:fill="FFFFFF"/>
            <w:vAlign w:val="center"/>
          </w:tcPr>
          <w:p>
            <w:pPr>
              <w:pStyle w:val="27"/>
              <w:rPr>
                <w:b/>
                <w:bCs/>
                <w:color w:val="auto"/>
              </w:rPr>
            </w:pPr>
            <w:r>
              <w:rPr>
                <w:b/>
                <w:bCs/>
                <w:color w:val="auto"/>
              </w:rPr>
              <w:t>2035年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29" w:type="dxa"/>
            <w:left w:w="28" w:type="dxa"/>
            <w:bottom w:w="29" w:type="dxa"/>
            <w:right w:w="28" w:type="dxa"/>
          </w:tblCellMar>
        </w:tblPrEx>
        <w:trPr>
          <w:trHeight w:val="432" w:hRule="atLeast"/>
          <w:jc w:val="center"/>
        </w:trPr>
        <w:tc>
          <w:tcPr>
            <w:tcW w:w="615" w:type="dxa"/>
            <w:vMerge w:val="restart"/>
            <w:shd w:val="clear" w:color="auto" w:fill="FFFFFF"/>
            <w:vAlign w:val="center"/>
          </w:tcPr>
          <w:p>
            <w:pPr>
              <w:pStyle w:val="27"/>
              <w:rPr>
                <w:color w:val="auto"/>
              </w:rPr>
            </w:pPr>
            <w:r>
              <w:rPr>
                <w:color w:val="auto"/>
              </w:rPr>
              <w:t>便捷顺畅</w:t>
            </w:r>
          </w:p>
        </w:tc>
        <w:tc>
          <w:tcPr>
            <w:tcW w:w="540" w:type="dxa"/>
            <w:shd w:val="clear" w:color="auto" w:fill="FFFFFF"/>
            <w:vAlign w:val="center"/>
          </w:tcPr>
          <w:p>
            <w:pPr>
              <w:pStyle w:val="27"/>
              <w:rPr>
                <w:color w:val="auto"/>
              </w:rPr>
            </w:pPr>
            <w:r>
              <w:rPr>
                <w:color w:val="auto"/>
              </w:rPr>
              <w:t>1</w:t>
            </w:r>
          </w:p>
        </w:tc>
        <w:tc>
          <w:tcPr>
            <w:tcW w:w="5293" w:type="dxa"/>
            <w:shd w:val="clear" w:color="auto" w:fill="FFFFFF"/>
            <w:vAlign w:val="center"/>
          </w:tcPr>
          <w:p>
            <w:pPr>
              <w:pStyle w:val="27"/>
              <w:rPr>
                <w:color w:val="auto"/>
              </w:rPr>
            </w:pPr>
            <w:r>
              <w:rPr>
                <w:color w:val="auto"/>
              </w:rPr>
              <w:t>常住人口享受1小时内快速交通服务的比例（%）</w:t>
            </w:r>
          </w:p>
        </w:tc>
        <w:tc>
          <w:tcPr>
            <w:tcW w:w="917" w:type="dxa"/>
            <w:shd w:val="clear" w:color="auto" w:fill="FFFFFF"/>
            <w:vAlign w:val="center"/>
          </w:tcPr>
          <w:p>
            <w:pPr>
              <w:pStyle w:val="27"/>
              <w:rPr>
                <w:color w:val="auto"/>
              </w:rPr>
            </w:pPr>
            <w:r>
              <w:rPr>
                <w:color w:val="auto"/>
              </w:rPr>
              <w:t>90</w:t>
            </w:r>
          </w:p>
        </w:tc>
        <w:tc>
          <w:tcPr>
            <w:tcW w:w="910" w:type="dxa"/>
            <w:shd w:val="clear" w:color="auto" w:fill="FFFFFF"/>
            <w:vAlign w:val="center"/>
          </w:tcPr>
          <w:p>
            <w:pPr>
              <w:pStyle w:val="27"/>
              <w:rPr>
                <w:color w:val="auto"/>
              </w:rPr>
            </w:pPr>
            <w:r>
              <w:rPr>
                <w:color w:val="auto"/>
              </w:rPr>
              <w:t>&gt;95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29" w:type="dxa"/>
            <w:left w:w="28" w:type="dxa"/>
            <w:bottom w:w="29" w:type="dxa"/>
            <w:right w:w="28" w:type="dxa"/>
          </w:tblCellMar>
        </w:tblPrEx>
        <w:trPr>
          <w:trHeight w:val="432" w:hRule="atLeast"/>
          <w:jc w:val="center"/>
        </w:trPr>
        <w:tc>
          <w:tcPr>
            <w:tcW w:w="615" w:type="dxa"/>
            <w:vMerge w:val="continue"/>
            <w:shd w:val="clear" w:color="auto" w:fill="FFFFFF"/>
            <w:vAlign w:val="center"/>
          </w:tcPr>
          <w:p>
            <w:pPr>
              <w:pStyle w:val="27"/>
              <w:rPr>
                <w:color w:val="auto"/>
              </w:rPr>
            </w:pPr>
          </w:p>
        </w:tc>
        <w:tc>
          <w:tcPr>
            <w:tcW w:w="540" w:type="dxa"/>
            <w:shd w:val="clear" w:color="auto" w:fill="FFFFFF"/>
            <w:vAlign w:val="center"/>
          </w:tcPr>
          <w:p>
            <w:pPr>
              <w:pStyle w:val="27"/>
              <w:rPr>
                <w:color w:val="auto"/>
              </w:rPr>
            </w:pPr>
            <w:r>
              <w:rPr>
                <w:color w:val="auto"/>
              </w:rPr>
              <w:t>2</w:t>
            </w:r>
          </w:p>
        </w:tc>
        <w:tc>
          <w:tcPr>
            <w:tcW w:w="5293" w:type="dxa"/>
            <w:shd w:val="clear" w:color="auto" w:fill="FFFFFF"/>
            <w:vAlign w:val="center"/>
          </w:tcPr>
          <w:p>
            <w:pPr>
              <w:pStyle w:val="27"/>
              <w:rPr>
                <w:color w:val="auto"/>
              </w:rPr>
            </w:pPr>
            <w:r>
              <w:rPr>
                <w:color w:val="auto"/>
              </w:rPr>
              <w:t>中心城区至综合客运枢纽半小时可达率（%）</w:t>
            </w:r>
          </w:p>
        </w:tc>
        <w:tc>
          <w:tcPr>
            <w:tcW w:w="917" w:type="dxa"/>
            <w:shd w:val="clear" w:color="auto" w:fill="FFFFFF"/>
            <w:vAlign w:val="center"/>
          </w:tcPr>
          <w:p>
            <w:pPr>
              <w:pStyle w:val="27"/>
              <w:rPr>
                <w:color w:val="auto"/>
              </w:rPr>
            </w:pPr>
            <w:r>
              <w:rPr>
                <w:color w:val="auto"/>
              </w:rPr>
              <w:t>100</w:t>
            </w:r>
          </w:p>
        </w:tc>
        <w:tc>
          <w:tcPr>
            <w:tcW w:w="910" w:type="dxa"/>
            <w:shd w:val="clear" w:color="auto" w:fill="FFFFFF"/>
            <w:vAlign w:val="center"/>
          </w:tcPr>
          <w:p>
            <w:pPr>
              <w:pStyle w:val="27"/>
              <w:rPr>
                <w:color w:val="auto"/>
              </w:rPr>
            </w:pPr>
            <w:r>
              <w:rPr>
                <w:color w:val="auto"/>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29" w:type="dxa"/>
            <w:left w:w="28" w:type="dxa"/>
            <w:bottom w:w="29" w:type="dxa"/>
            <w:right w:w="28" w:type="dxa"/>
          </w:tblCellMar>
        </w:tblPrEx>
        <w:trPr>
          <w:trHeight w:val="432" w:hRule="atLeast"/>
          <w:jc w:val="center"/>
        </w:trPr>
        <w:tc>
          <w:tcPr>
            <w:tcW w:w="615" w:type="dxa"/>
            <w:vMerge w:val="continue"/>
            <w:shd w:val="clear" w:color="auto" w:fill="FFFFFF"/>
            <w:vAlign w:val="center"/>
          </w:tcPr>
          <w:p>
            <w:pPr>
              <w:pStyle w:val="27"/>
              <w:rPr>
                <w:color w:val="auto"/>
              </w:rPr>
            </w:pPr>
          </w:p>
        </w:tc>
        <w:tc>
          <w:tcPr>
            <w:tcW w:w="540" w:type="dxa"/>
            <w:shd w:val="clear" w:color="auto" w:fill="FFFFFF"/>
            <w:vAlign w:val="center"/>
          </w:tcPr>
          <w:p>
            <w:pPr>
              <w:pStyle w:val="27"/>
              <w:rPr>
                <w:color w:val="auto"/>
              </w:rPr>
            </w:pPr>
            <w:r>
              <w:rPr>
                <w:color w:val="auto"/>
              </w:rPr>
              <w:t>3</w:t>
            </w:r>
          </w:p>
        </w:tc>
        <w:tc>
          <w:tcPr>
            <w:tcW w:w="5293" w:type="dxa"/>
            <w:shd w:val="clear" w:color="auto" w:fill="FFFFFF"/>
            <w:vAlign w:val="center"/>
          </w:tcPr>
          <w:p>
            <w:pPr>
              <w:pStyle w:val="27"/>
              <w:rPr>
                <w:color w:val="auto"/>
              </w:rPr>
            </w:pPr>
            <w:r>
              <w:rPr>
                <w:color w:val="auto"/>
              </w:rPr>
              <w:t>接入2条及以上轨道交通的综合客运枢纽数量（个）</w:t>
            </w:r>
          </w:p>
        </w:tc>
        <w:tc>
          <w:tcPr>
            <w:tcW w:w="917" w:type="dxa"/>
            <w:shd w:val="clear" w:color="auto" w:fill="FFFFFF"/>
            <w:vAlign w:val="center"/>
          </w:tcPr>
          <w:p>
            <w:pPr>
              <w:pStyle w:val="27"/>
              <w:rPr>
                <w:color w:val="auto"/>
              </w:rPr>
            </w:pPr>
            <w:r>
              <w:rPr>
                <w:color w:val="auto"/>
              </w:rPr>
              <w:t>0</w:t>
            </w:r>
          </w:p>
        </w:tc>
        <w:tc>
          <w:tcPr>
            <w:tcW w:w="910" w:type="dxa"/>
            <w:shd w:val="clear" w:color="auto" w:fill="FFFFFF"/>
            <w:vAlign w:val="center"/>
          </w:tcPr>
          <w:p>
            <w:pPr>
              <w:pStyle w:val="27"/>
              <w:rPr>
                <w:color w:val="auto"/>
              </w:rPr>
            </w:pPr>
            <w:r>
              <w:rPr>
                <w:color w:val="auto"/>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29" w:type="dxa"/>
            <w:left w:w="28" w:type="dxa"/>
            <w:bottom w:w="29" w:type="dxa"/>
            <w:right w:w="28" w:type="dxa"/>
          </w:tblCellMar>
        </w:tblPrEx>
        <w:trPr>
          <w:trHeight w:val="432" w:hRule="atLeast"/>
          <w:jc w:val="center"/>
        </w:trPr>
        <w:tc>
          <w:tcPr>
            <w:tcW w:w="615" w:type="dxa"/>
            <w:vMerge w:val="continue"/>
            <w:shd w:val="clear" w:color="auto" w:fill="FFFFFF"/>
            <w:vAlign w:val="center"/>
          </w:tcPr>
          <w:p>
            <w:pPr>
              <w:pStyle w:val="27"/>
              <w:rPr>
                <w:color w:val="auto"/>
              </w:rPr>
            </w:pPr>
          </w:p>
        </w:tc>
        <w:tc>
          <w:tcPr>
            <w:tcW w:w="540" w:type="dxa"/>
            <w:shd w:val="clear" w:color="auto" w:fill="FFFFFF"/>
            <w:vAlign w:val="center"/>
          </w:tcPr>
          <w:p>
            <w:pPr>
              <w:pStyle w:val="27"/>
              <w:rPr>
                <w:color w:val="auto"/>
              </w:rPr>
            </w:pPr>
            <w:r>
              <w:rPr>
                <w:color w:val="auto"/>
              </w:rPr>
              <w:t>4</w:t>
            </w:r>
          </w:p>
        </w:tc>
        <w:tc>
          <w:tcPr>
            <w:tcW w:w="5293" w:type="dxa"/>
            <w:shd w:val="clear" w:color="auto" w:fill="FFFFFF"/>
            <w:vAlign w:val="center"/>
          </w:tcPr>
          <w:p>
            <w:pPr>
              <w:pStyle w:val="27"/>
              <w:rPr>
                <w:color w:val="auto"/>
              </w:rPr>
            </w:pPr>
            <w:r>
              <w:rPr>
                <w:color w:val="auto"/>
              </w:rPr>
              <w:t>集装箱、干散货重点港区铁路进港率（%）</w:t>
            </w:r>
          </w:p>
        </w:tc>
        <w:tc>
          <w:tcPr>
            <w:tcW w:w="917" w:type="dxa"/>
            <w:shd w:val="clear" w:color="auto" w:fill="FFFFFF"/>
            <w:vAlign w:val="center"/>
          </w:tcPr>
          <w:p>
            <w:pPr>
              <w:pStyle w:val="27"/>
              <w:rPr>
                <w:color w:val="auto"/>
              </w:rPr>
            </w:pPr>
            <w:r>
              <w:rPr>
                <w:color w:val="auto"/>
              </w:rPr>
              <w:t>68</w:t>
            </w:r>
          </w:p>
        </w:tc>
        <w:tc>
          <w:tcPr>
            <w:tcW w:w="910" w:type="dxa"/>
            <w:shd w:val="clear" w:color="auto" w:fill="FFFFFF"/>
            <w:vAlign w:val="center"/>
          </w:tcPr>
          <w:p>
            <w:pPr>
              <w:pStyle w:val="27"/>
              <w:rPr>
                <w:color w:val="auto"/>
              </w:rPr>
            </w:pPr>
            <w:r>
              <w:rPr>
                <w:color w:val="auto"/>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29" w:type="dxa"/>
            <w:left w:w="28" w:type="dxa"/>
            <w:bottom w:w="29" w:type="dxa"/>
            <w:right w:w="28" w:type="dxa"/>
          </w:tblCellMar>
        </w:tblPrEx>
        <w:trPr>
          <w:trHeight w:val="432" w:hRule="atLeast"/>
          <w:jc w:val="center"/>
        </w:trPr>
        <w:tc>
          <w:tcPr>
            <w:tcW w:w="615" w:type="dxa"/>
            <w:vMerge w:val="restart"/>
            <w:shd w:val="clear" w:color="auto" w:fill="FFFFFF"/>
            <w:vAlign w:val="center"/>
          </w:tcPr>
          <w:p>
            <w:pPr>
              <w:pStyle w:val="27"/>
              <w:rPr>
                <w:color w:val="auto"/>
              </w:rPr>
            </w:pPr>
            <w:r>
              <w:rPr>
                <w:color w:val="auto"/>
              </w:rPr>
              <w:t>经济高效</w:t>
            </w:r>
          </w:p>
        </w:tc>
        <w:tc>
          <w:tcPr>
            <w:tcW w:w="540" w:type="dxa"/>
            <w:shd w:val="clear" w:color="auto" w:fill="FFFFFF"/>
            <w:vAlign w:val="center"/>
          </w:tcPr>
          <w:p>
            <w:pPr>
              <w:pStyle w:val="27"/>
              <w:rPr>
                <w:color w:val="auto"/>
              </w:rPr>
            </w:pPr>
            <w:r>
              <w:rPr>
                <w:color w:val="auto"/>
              </w:rPr>
              <w:t>5</w:t>
            </w:r>
          </w:p>
        </w:tc>
        <w:tc>
          <w:tcPr>
            <w:tcW w:w="5293" w:type="dxa"/>
            <w:shd w:val="clear" w:color="auto" w:fill="FFFFFF"/>
            <w:vAlign w:val="center"/>
          </w:tcPr>
          <w:p>
            <w:pPr>
              <w:pStyle w:val="27"/>
              <w:rPr>
                <w:color w:val="auto"/>
              </w:rPr>
            </w:pPr>
            <w:r>
              <w:rPr>
                <w:color w:val="auto"/>
              </w:rPr>
              <w:t>多式联运换装1小时完成率（%）</w:t>
            </w:r>
          </w:p>
        </w:tc>
        <w:tc>
          <w:tcPr>
            <w:tcW w:w="917" w:type="dxa"/>
            <w:shd w:val="clear" w:color="auto" w:fill="FFFFFF"/>
            <w:vAlign w:val="center"/>
          </w:tcPr>
          <w:p>
            <w:pPr>
              <w:pStyle w:val="27"/>
              <w:rPr>
                <w:color w:val="auto"/>
              </w:rPr>
            </w:pPr>
          </w:p>
        </w:tc>
        <w:tc>
          <w:tcPr>
            <w:tcW w:w="910" w:type="dxa"/>
            <w:shd w:val="clear" w:color="auto" w:fill="FFFFFF"/>
            <w:vAlign w:val="center"/>
          </w:tcPr>
          <w:p>
            <w:pPr>
              <w:pStyle w:val="27"/>
              <w:rPr>
                <w:color w:val="auto"/>
              </w:rPr>
            </w:pPr>
            <w:r>
              <w:rPr>
                <w:color w:val="auto"/>
              </w:rPr>
              <w:t>&gt;90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29" w:type="dxa"/>
            <w:left w:w="28" w:type="dxa"/>
            <w:bottom w:w="29" w:type="dxa"/>
            <w:right w:w="28" w:type="dxa"/>
          </w:tblCellMar>
        </w:tblPrEx>
        <w:trPr>
          <w:trHeight w:val="432" w:hRule="atLeast"/>
          <w:jc w:val="center"/>
        </w:trPr>
        <w:tc>
          <w:tcPr>
            <w:tcW w:w="615" w:type="dxa"/>
            <w:vMerge w:val="continue"/>
            <w:shd w:val="clear" w:color="auto" w:fill="FFFFFF"/>
            <w:vAlign w:val="center"/>
          </w:tcPr>
          <w:p>
            <w:pPr>
              <w:pStyle w:val="27"/>
              <w:rPr>
                <w:color w:val="auto"/>
              </w:rPr>
            </w:pPr>
          </w:p>
        </w:tc>
        <w:tc>
          <w:tcPr>
            <w:tcW w:w="540" w:type="dxa"/>
            <w:shd w:val="clear" w:color="auto" w:fill="FFFFFF"/>
            <w:vAlign w:val="center"/>
          </w:tcPr>
          <w:p>
            <w:pPr>
              <w:pStyle w:val="27"/>
              <w:rPr>
                <w:color w:val="auto"/>
              </w:rPr>
            </w:pPr>
            <w:r>
              <w:rPr>
                <w:color w:val="auto"/>
              </w:rPr>
              <w:t>6</w:t>
            </w:r>
          </w:p>
        </w:tc>
        <w:tc>
          <w:tcPr>
            <w:tcW w:w="5293" w:type="dxa"/>
            <w:shd w:val="clear" w:color="auto" w:fill="FFFFFF"/>
            <w:vAlign w:val="center"/>
          </w:tcPr>
          <w:p>
            <w:pPr>
              <w:pStyle w:val="27"/>
              <w:rPr>
                <w:color w:val="auto"/>
              </w:rPr>
            </w:pPr>
            <w:r>
              <w:rPr>
                <w:color w:val="auto"/>
              </w:rPr>
              <w:t>国内主要城市24小时邮政快件通达率（%）</w:t>
            </w:r>
          </w:p>
        </w:tc>
        <w:tc>
          <w:tcPr>
            <w:tcW w:w="917" w:type="dxa"/>
            <w:shd w:val="clear" w:color="auto" w:fill="FFFFFF"/>
            <w:vAlign w:val="center"/>
          </w:tcPr>
          <w:p>
            <w:pPr>
              <w:pStyle w:val="27"/>
              <w:rPr>
                <w:color w:val="auto"/>
              </w:rPr>
            </w:pPr>
          </w:p>
        </w:tc>
        <w:tc>
          <w:tcPr>
            <w:tcW w:w="910" w:type="dxa"/>
            <w:shd w:val="clear" w:color="auto" w:fill="FFFFFF"/>
            <w:vAlign w:val="center"/>
          </w:tcPr>
          <w:p>
            <w:pPr>
              <w:pStyle w:val="27"/>
              <w:rPr>
                <w:color w:val="auto"/>
              </w:rPr>
            </w:pPr>
            <w:r>
              <w:rPr>
                <w:color w:val="auto"/>
              </w:rPr>
              <w:t>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29" w:type="dxa"/>
            <w:left w:w="28" w:type="dxa"/>
            <w:bottom w:w="29" w:type="dxa"/>
            <w:right w:w="28" w:type="dxa"/>
          </w:tblCellMar>
        </w:tblPrEx>
        <w:trPr>
          <w:trHeight w:val="432" w:hRule="atLeast"/>
          <w:jc w:val="center"/>
        </w:trPr>
        <w:tc>
          <w:tcPr>
            <w:tcW w:w="615" w:type="dxa"/>
            <w:vMerge w:val="continue"/>
            <w:shd w:val="clear" w:color="auto" w:fill="FFFFFF"/>
            <w:vAlign w:val="center"/>
          </w:tcPr>
          <w:p>
            <w:pPr>
              <w:pStyle w:val="27"/>
              <w:rPr>
                <w:color w:val="auto"/>
              </w:rPr>
            </w:pPr>
          </w:p>
        </w:tc>
        <w:tc>
          <w:tcPr>
            <w:tcW w:w="540" w:type="dxa"/>
            <w:shd w:val="clear" w:color="auto" w:fill="FFFFFF"/>
            <w:vAlign w:val="center"/>
          </w:tcPr>
          <w:p>
            <w:pPr>
              <w:pStyle w:val="27"/>
              <w:rPr>
                <w:color w:val="auto"/>
              </w:rPr>
            </w:pPr>
            <w:r>
              <w:rPr>
                <w:color w:val="auto"/>
              </w:rPr>
              <w:t>7</w:t>
            </w:r>
          </w:p>
        </w:tc>
        <w:tc>
          <w:tcPr>
            <w:tcW w:w="5293" w:type="dxa"/>
            <w:shd w:val="clear" w:color="auto" w:fill="FFFFFF"/>
            <w:vAlign w:val="center"/>
          </w:tcPr>
          <w:p>
            <w:pPr>
              <w:pStyle w:val="27"/>
              <w:rPr>
                <w:color w:val="auto"/>
              </w:rPr>
            </w:pPr>
            <w:r>
              <w:rPr>
                <w:color w:val="auto"/>
              </w:rPr>
              <w:t>国际主要城市72小时邮政快件通达率（%）</w:t>
            </w:r>
          </w:p>
        </w:tc>
        <w:tc>
          <w:tcPr>
            <w:tcW w:w="917" w:type="dxa"/>
            <w:shd w:val="clear" w:color="auto" w:fill="FFFFFF"/>
            <w:vAlign w:val="center"/>
          </w:tcPr>
          <w:p>
            <w:pPr>
              <w:pStyle w:val="27"/>
              <w:rPr>
                <w:color w:val="auto"/>
              </w:rPr>
            </w:pPr>
          </w:p>
        </w:tc>
        <w:tc>
          <w:tcPr>
            <w:tcW w:w="910" w:type="dxa"/>
            <w:shd w:val="clear" w:color="auto" w:fill="FFFFFF"/>
            <w:vAlign w:val="center"/>
          </w:tcPr>
          <w:p>
            <w:pPr>
              <w:pStyle w:val="27"/>
              <w:rPr>
                <w:color w:val="auto"/>
              </w:rPr>
            </w:pPr>
            <w:r>
              <w:rPr>
                <w:color w:val="auto"/>
              </w:rPr>
              <w:t>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29" w:type="dxa"/>
            <w:left w:w="28" w:type="dxa"/>
            <w:bottom w:w="29" w:type="dxa"/>
            <w:right w:w="28" w:type="dxa"/>
          </w:tblCellMar>
        </w:tblPrEx>
        <w:trPr>
          <w:trHeight w:val="432" w:hRule="atLeast"/>
          <w:jc w:val="center"/>
        </w:trPr>
        <w:tc>
          <w:tcPr>
            <w:tcW w:w="615" w:type="dxa"/>
            <w:vMerge w:val="continue"/>
            <w:shd w:val="clear" w:color="auto" w:fill="FFFFFF"/>
            <w:vAlign w:val="center"/>
          </w:tcPr>
          <w:p>
            <w:pPr>
              <w:pStyle w:val="27"/>
              <w:rPr>
                <w:color w:val="auto"/>
              </w:rPr>
            </w:pPr>
          </w:p>
        </w:tc>
        <w:tc>
          <w:tcPr>
            <w:tcW w:w="540" w:type="dxa"/>
            <w:shd w:val="clear" w:color="auto" w:fill="FFFFFF"/>
            <w:vAlign w:val="center"/>
          </w:tcPr>
          <w:p>
            <w:pPr>
              <w:pStyle w:val="27"/>
              <w:rPr>
                <w:color w:val="auto"/>
              </w:rPr>
            </w:pPr>
            <w:r>
              <w:rPr>
                <w:color w:val="auto"/>
              </w:rPr>
              <w:t>8</w:t>
            </w:r>
          </w:p>
        </w:tc>
        <w:tc>
          <w:tcPr>
            <w:tcW w:w="5293" w:type="dxa"/>
            <w:shd w:val="clear" w:color="auto" w:fill="FFFFFF"/>
            <w:vAlign w:val="center"/>
          </w:tcPr>
          <w:p>
            <w:pPr>
              <w:pStyle w:val="27"/>
              <w:rPr>
                <w:color w:val="auto"/>
              </w:rPr>
            </w:pPr>
            <w:r>
              <w:rPr>
                <w:color w:val="auto"/>
              </w:rPr>
              <w:t>综合立体交通主通道能力利用率（%）</w:t>
            </w:r>
          </w:p>
        </w:tc>
        <w:tc>
          <w:tcPr>
            <w:tcW w:w="917" w:type="dxa"/>
            <w:shd w:val="clear" w:color="auto" w:fill="FFFFFF"/>
            <w:vAlign w:val="center"/>
          </w:tcPr>
          <w:p>
            <w:pPr>
              <w:pStyle w:val="27"/>
              <w:rPr>
                <w:color w:val="auto"/>
              </w:rPr>
            </w:pPr>
            <w:r>
              <w:rPr>
                <w:color w:val="auto"/>
              </w:rPr>
              <w:t>45</w:t>
            </w:r>
          </w:p>
        </w:tc>
        <w:tc>
          <w:tcPr>
            <w:tcW w:w="910" w:type="dxa"/>
            <w:shd w:val="clear" w:color="auto" w:fill="FFFFFF"/>
            <w:vAlign w:val="center"/>
          </w:tcPr>
          <w:p>
            <w:pPr>
              <w:pStyle w:val="27"/>
              <w:rPr>
                <w:color w:val="auto"/>
              </w:rPr>
            </w:pPr>
            <w:r>
              <w:rPr>
                <w:color w:val="auto"/>
              </w:rPr>
              <w:t>60-85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29" w:type="dxa"/>
            <w:left w:w="28" w:type="dxa"/>
            <w:bottom w:w="29" w:type="dxa"/>
            <w:right w:w="28" w:type="dxa"/>
          </w:tblCellMar>
        </w:tblPrEx>
        <w:trPr>
          <w:trHeight w:val="432" w:hRule="atLeast"/>
          <w:jc w:val="center"/>
        </w:trPr>
        <w:tc>
          <w:tcPr>
            <w:tcW w:w="615" w:type="dxa"/>
            <w:vMerge w:val="restart"/>
            <w:shd w:val="clear" w:color="auto" w:fill="FFFFFF"/>
            <w:vAlign w:val="center"/>
          </w:tcPr>
          <w:p>
            <w:pPr>
              <w:pStyle w:val="27"/>
              <w:rPr>
                <w:color w:val="auto"/>
              </w:rPr>
            </w:pPr>
            <w:r>
              <w:rPr>
                <w:color w:val="auto"/>
              </w:rPr>
              <w:t>绿色集约</w:t>
            </w:r>
          </w:p>
        </w:tc>
        <w:tc>
          <w:tcPr>
            <w:tcW w:w="540" w:type="dxa"/>
            <w:shd w:val="clear" w:color="auto" w:fill="FFFFFF"/>
            <w:vAlign w:val="center"/>
          </w:tcPr>
          <w:p>
            <w:pPr>
              <w:pStyle w:val="27"/>
              <w:rPr>
                <w:color w:val="auto"/>
              </w:rPr>
            </w:pPr>
            <w:r>
              <w:rPr>
                <w:color w:val="auto"/>
              </w:rPr>
              <w:t>9</w:t>
            </w:r>
          </w:p>
        </w:tc>
        <w:tc>
          <w:tcPr>
            <w:tcW w:w="5293" w:type="dxa"/>
            <w:shd w:val="clear" w:color="auto" w:fill="FFFFFF"/>
            <w:vAlign w:val="center"/>
          </w:tcPr>
          <w:p>
            <w:pPr>
              <w:pStyle w:val="27"/>
              <w:rPr>
                <w:color w:val="auto"/>
              </w:rPr>
            </w:pPr>
            <w:r>
              <w:rPr>
                <w:color w:val="auto"/>
              </w:rPr>
              <w:t>交通基础设施绿色化建设比例（%）</w:t>
            </w:r>
          </w:p>
        </w:tc>
        <w:tc>
          <w:tcPr>
            <w:tcW w:w="917" w:type="dxa"/>
            <w:shd w:val="clear" w:color="auto" w:fill="FFFFFF"/>
            <w:vAlign w:val="center"/>
          </w:tcPr>
          <w:p>
            <w:pPr>
              <w:pStyle w:val="27"/>
              <w:rPr>
                <w:color w:val="auto"/>
              </w:rPr>
            </w:pPr>
            <w:r>
              <w:rPr>
                <w:color w:val="auto"/>
              </w:rPr>
              <w:t>-</w:t>
            </w:r>
          </w:p>
        </w:tc>
        <w:tc>
          <w:tcPr>
            <w:tcW w:w="910" w:type="dxa"/>
            <w:shd w:val="clear" w:color="auto" w:fill="FFFFFF"/>
            <w:vAlign w:val="center"/>
          </w:tcPr>
          <w:p>
            <w:pPr>
              <w:pStyle w:val="27"/>
              <w:rPr>
                <w:color w:val="auto"/>
              </w:rPr>
            </w:pPr>
            <w:r>
              <w:rPr>
                <w:color w:val="auto"/>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29" w:type="dxa"/>
            <w:left w:w="28" w:type="dxa"/>
            <w:bottom w:w="29" w:type="dxa"/>
            <w:right w:w="28" w:type="dxa"/>
          </w:tblCellMar>
        </w:tblPrEx>
        <w:trPr>
          <w:trHeight w:val="432" w:hRule="atLeast"/>
          <w:jc w:val="center"/>
        </w:trPr>
        <w:tc>
          <w:tcPr>
            <w:tcW w:w="615" w:type="dxa"/>
            <w:vMerge w:val="continue"/>
            <w:shd w:val="clear" w:color="auto" w:fill="FFFFFF"/>
            <w:vAlign w:val="center"/>
          </w:tcPr>
          <w:p>
            <w:pPr>
              <w:pStyle w:val="27"/>
              <w:rPr>
                <w:color w:val="auto"/>
              </w:rPr>
            </w:pPr>
          </w:p>
        </w:tc>
        <w:tc>
          <w:tcPr>
            <w:tcW w:w="540" w:type="dxa"/>
            <w:shd w:val="clear" w:color="auto" w:fill="FFFFFF"/>
            <w:vAlign w:val="center"/>
          </w:tcPr>
          <w:p>
            <w:pPr>
              <w:pStyle w:val="27"/>
              <w:rPr>
                <w:color w:val="auto"/>
              </w:rPr>
            </w:pPr>
            <w:r>
              <w:rPr>
                <w:color w:val="auto"/>
              </w:rPr>
              <w:t>10</w:t>
            </w:r>
          </w:p>
        </w:tc>
        <w:tc>
          <w:tcPr>
            <w:tcW w:w="5293" w:type="dxa"/>
            <w:shd w:val="clear" w:color="auto" w:fill="FFFFFF"/>
            <w:vAlign w:val="center"/>
          </w:tcPr>
          <w:p>
            <w:pPr>
              <w:pStyle w:val="27"/>
              <w:rPr>
                <w:color w:val="auto"/>
              </w:rPr>
            </w:pPr>
            <w:r>
              <w:rPr>
                <w:color w:val="auto"/>
              </w:rPr>
              <w:t>主要通道新增交通基础设施多方式国土空间综合利用率提高比率（%）</w:t>
            </w:r>
          </w:p>
        </w:tc>
        <w:tc>
          <w:tcPr>
            <w:tcW w:w="917" w:type="dxa"/>
            <w:shd w:val="clear" w:color="auto" w:fill="FFFFFF"/>
            <w:vAlign w:val="center"/>
          </w:tcPr>
          <w:p>
            <w:pPr>
              <w:pStyle w:val="27"/>
              <w:rPr>
                <w:color w:val="auto"/>
              </w:rPr>
            </w:pPr>
          </w:p>
        </w:tc>
        <w:tc>
          <w:tcPr>
            <w:tcW w:w="910" w:type="dxa"/>
            <w:shd w:val="clear" w:color="auto" w:fill="FFFFFF"/>
            <w:vAlign w:val="center"/>
          </w:tcPr>
          <w:p>
            <w:pPr>
              <w:pStyle w:val="27"/>
              <w:rPr>
                <w:color w:val="auto"/>
              </w:rPr>
            </w:pPr>
            <w:r>
              <w:rPr>
                <w:color w:val="auto"/>
              </w:rPr>
              <w:t>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29" w:type="dxa"/>
            <w:left w:w="28" w:type="dxa"/>
            <w:bottom w:w="29" w:type="dxa"/>
            <w:right w:w="28" w:type="dxa"/>
          </w:tblCellMar>
        </w:tblPrEx>
        <w:trPr>
          <w:trHeight w:val="432" w:hRule="atLeast"/>
          <w:jc w:val="center"/>
        </w:trPr>
        <w:tc>
          <w:tcPr>
            <w:tcW w:w="615" w:type="dxa"/>
            <w:shd w:val="clear" w:color="auto" w:fill="FFFFFF"/>
            <w:vAlign w:val="center"/>
          </w:tcPr>
          <w:p>
            <w:pPr>
              <w:pStyle w:val="27"/>
              <w:rPr>
                <w:color w:val="auto"/>
              </w:rPr>
            </w:pPr>
            <w:r>
              <w:rPr>
                <w:color w:val="auto"/>
              </w:rPr>
              <w:t>智能先进</w:t>
            </w:r>
          </w:p>
        </w:tc>
        <w:tc>
          <w:tcPr>
            <w:tcW w:w="540" w:type="dxa"/>
            <w:shd w:val="clear" w:color="auto" w:fill="FFFFFF"/>
            <w:vAlign w:val="center"/>
          </w:tcPr>
          <w:p>
            <w:pPr>
              <w:pStyle w:val="27"/>
              <w:rPr>
                <w:color w:val="auto"/>
              </w:rPr>
            </w:pPr>
            <w:r>
              <w:rPr>
                <w:color w:val="auto"/>
              </w:rPr>
              <w:t>11</w:t>
            </w:r>
          </w:p>
        </w:tc>
        <w:tc>
          <w:tcPr>
            <w:tcW w:w="5293" w:type="dxa"/>
            <w:shd w:val="clear" w:color="auto" w:fill="FFFFFF"/>
            <w:vAlign w:val="center"/>
          </w:tcPr>
          <w:p>
            <w:pPr>
              <w:pStyle w:val="27"/>
              <w:rPr>
                <w:color w:val="auto"/>
              </w:rPr>
            </w:pPr>
            <w:r>
              <w:rPr>
                <w:color w:val="auto"/>
              </w:rPr>
              <w:t>重要交通基础设施数字化率（%）</w:t>
            </w:r>
          </w:p>
        </w:tc>
        <w:tc>
          <w:tcPr>
            <w:tcW w:w="917" w:type="dxa"/>
            <w:shd w:val="clear" w:color="auto" w:fill="FFFFFF"/>
            <w:vAlign w:val="center"/>
          </w:tcPr>
          <w:p>
            <w:pPr>
              <w:pStyle w:val="27"/>
              <w:rPr>
                <w:color w:val="auto"/>
              </w:rPr>
            </w:pPr>
            <w:r>
              <w:rPr>
                <w:color w:val="auto"/>
              </w:rPr>
              <w:t>78.4</w:t>
            </w:r>
          </w:p>
        </w:tc>
        <w:tc>
          <w:tcPr>
            <w:tcW w:w="910" w:type="dxa"/>
            <w:shd w:val="clear" w:color="auto" w:fill="FFFFFF"/>
            <w:vAlign w:val="center"/>
          </w:tcPr>
          <w:p>
            <w:pPr>
              <w:pStyle w:val="27"/>
              <w:rPr>
                <w:color w:val="auto"/>
              </w:rPr>
            </w:pPr>
            <w:r>
              <w:rPr>
                <w:color w:val="auto"/>
              </w:rPr>
              <w:t>100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29" w:type="dxa"/>
            <w:left w:w="28" w:type="dxa"/>
            <w:bottom w:w="29" w:type="dxa"/>
            <w:right w:w="28" w:type="dxa"/>
          </w:tblCellMar>
        </w:tblPrEx>
        <w:trPr>
          <w:trHeight w:val="432" w:hRule="atLeast"/>
          <w:jc w:val="center"/>
        </w:trPr>
        <w:tc>
          <w:tcPr>
            <w:tcW w:w="615" w:type="dxa"/>
            <w:vMerge w:val="restart"/>
            <w:shd w:val="clear" w:color="auto" w:fill="FFFFFF"/>
            <w:vAlign w:val="center"/>
          </w:tcPr>
          <w:p>
            <w:pPr>
              <w:pStyle w:val="27"/>
              <w:rPr>
                <w:color w:val="auto"/>
              </w:rPr>
            </w:pPr>
            <w:r>
              <w:rPr>
                <w:color w:val="auto"/>
              </w:rPr>
              <w:t>安全可靠</w:t>
            </w:r>
          </w:p>
        </w:tc>
        <w:tc>
          <w:tcPr>
            <w:tcW w:w="540" w:type="dxa"/>
            <w:shd w:val="clear" w:color="auto" w:fill="FFFFFF"/>
            <w:vAlign w:val="center"/>
          </w:tcPr>
          <w:p>
            <w:pPr>
              <w:pStyle w:val="27"/>
              <w:rPr>
                <w:color w:val="auto"/>
              </w:rPr>
            </w:pPr>
            <w:r>
              <w:rPr>
                <w:color w:val="auto"/>
              </w:rPr>
              <w:t>12</w:t>
            </w:r>
          </w:p>
        </w:tc>
        <w:tc>
          <w:tcPr>
            <w:tcW w:w="5293" w:type="dxa"/>
            <w:shd w:val="clear" w:color="auto" w:fill="FFFFFF"/>
            <w:vAlign w:val="center"/>
          </w:tcPr>
          <w:p>
            <w:pPr>
              <w:pStyle w:val="27"/>
              <w:rPr>
                <w:color w:val="auto"/>
              </w:rPr>
            </w:pPr>
            <w:r>
              <w:rPr>
                <w:color w:val="auto"/>
              </w:rPr>
              <w:t>重点区域多路径连接比例（%）</w:t>
            </w:r>
          </w:p>
        </w:tc>
        <w:tc>
          <w:tcPr>
            <w:tcW w:w="917" w:type="dxa"/>
            <w:shd w:val="clear" w:color="auto" w:fill="FFFFFF"/>
            <w:vAlign w:val="center"/>
          </w:tcPr>
          <w:p>
            <w:pPr>
              <w:pStyle w:val="27"/>
              <w:rPr>
                <w:color w:val="auto"/>
              </w:rPr>
            </w:pPr>
            <w:r>
              <w:rPr>
                <w:color w:val="auto"/>
              </w:rPr>
              <w:t>95</w:t>
            </w:r>
          </w:p>
        </w:tc>
        <w:tc>
          <w:tcPr>
            <w:tcW w:w="910" w:type="dxa"/>
            <w:shd w:val="clear" w:color="auto" w:fill="FFFFFF"/>
            <w:vAlign w:val="center"/>
          </w:tcPr>
          <w:p>
            <w:pPr>
              <w:pStyle w:val="27"/>
              <w:rPr>
                <w:color w:val="auto"/>
              </w:rPr>
            </w:pPr>
            <w:r>
              <w:rPr>
                <w:color w:val="auto"/>
              </w:rPr>
              <w:t>≥95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29" w:type="dxa"/>
            <w:left w:w="28" w:type="dxa"/>
            <w:bottom w:w="29" w:type="dxa"/>
            <w:right w:w="28" w:type="dxa"/>
          </w:tblCellMar>
        </w:tblPrEx>
        <w:trPr>
          <w:trHeight w:val="432" w:hRule="atLeast"/>
          <w:jc w:val="center"/>
        </w:trPr>
        <w:tc>
          <w:tcPr>
            <w:tcW w:w="615" w:type="dxa"/>
            <w:vMerge w:val="continue"/>
            <w:shd w:val="clear" w:color="auto" w:fill="FFFFFF"/>
            <w:vAlign w:val="center"/>
          </w:tcPr>
          <w:p>
            <w:pPr>
              <w:pStyle w:val="27"/>
              <w:rPr>
                <w:color w:val="auto"/>
              </w:rPr>
            </w:pPr>
          </w:p>
        </w:tc>
        <w:tc>
          <w:tcPr>
            <w:tcW w:w="540" w:type="dxa"/>
            <w:shd w:val="clear" w:color="auto" w:fill="FFFFFF"/>
            <w:vAlign w:val="center"/>
          </w:tcPr>
          <w:p>
            <w:pPr>
              <w:pStyle w:val="27"/>
              <w:rPr>
                <w:color w:val="auto"/>
              </w:rPr>
            </w:pPr>
            <w:r>
              <w:rPr>
                <w:color w:val="auto"/>
              </w:rPr>
              <w:t>13</w:t>
            </w:r>
          </w:p>
        </w:tc>
        <w:tc>
          <w:tcPr>
            <w:tcW w:w="5293" w:type="dxa"/>
            <w:shd w:val="clear" w:color="auto" w:fill="FFFFFF"/>
            <w:vAlign w:val="center"/>
          </w:tcPr>
          <w:p>
            <w:pPr>
              <w:pStyle w:val="27"/>
              <w:rPr>
                <w:color w:val="auto"/>
              </w:rPr>
            </w:pPr>
            <w:r>
              <w:rPr>
                <w:color w:val="auto"/>
              </w:rPr>
              <w:t>综合立体交通网安全设施完好率（%）</w:t>
            </w:r>
          </w:p>
        </w:tc>
        <w:tc>
          <w:tcPr>
            <w:tcW w:w="917" w:type="dxa"/>
            <w:shd w:val="clear" w:color="auto" w:fill="FFFFFF"/>
            <w:vAlign w:val="center"/>
          </w:tcPr>
          <w:p>
            <w:pPr>
              <w:pStyle w:val="27"/>
              <w:rPr>
                <w:color w:val="auto"/>
              </w:rPr>
            </w:pPr>
            <w:r>
              <w:rPr>
                <w:color w:val="auto"/>
              </w:rPr>
              <w:t>92</w:t>
            </w:r>
          </w:p>
        </w:tc>
        <w:tc>
          <w:tcPr>
            <w:tcW w:w="910" w:type="dxa"/>
            <w:shd w:val="clear" w:color="auto" w:fill="FFFFFF"/>
            <w:vAlign w:val="center"/>
          </w:tcPr>
          <w:p>
            <w:pPr>
              <w:pStyle w:val="27"/>
              <w:rPr>
                <w:color w:val="auto"/>
              </w:rPr>
            </w:pPr>
            <w:r>
              <w:rPr>
                <w:color w:val="auto"/>
              </w:rPr>
              <w:t>≥95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8" w:space="0"/>
          </w:tblBorders>
          <w:tblLayout w:type="fixed"/>
          <w:tblCellMar>
            <w:top w:w="29" w:type="dxa"/>
            <w:left w:w="28" w:type="dxa"/>
            <w:bottom w:w="29" w:type="dxa"/>
            <w:right w:w="28" w:type="dxa"/>
          </w:tblCellMar>
        </w:tblPrEx>
        <w:trPr>
          <w:trHeight w:val="432" w:hRule="atLeast"/>
          <w:jc w:val="center"/>
        </w:trPr>
        <w:tc>
          <w:tcPr>
            <w:tcW w:w="615" w:type="dxa"/>
            <w:vMerge w:val="continue"/>
            <w:shd w:val="clear" w:color="auto" w:fill="FFFFFF"/>
            <w:vAlign w:val="center"/>
          </w:tcPr>
          <w:p>
            <w:pPr>
              <w:pStyle w:val="27"/>
              <w:rPr>
                <w:color w:val="auto"/>
              </w:rPr>
            </w:pPr>
          </w:p>
        </w:tc>
        <w:tc>
          <w:tcPr>
            <w:tcW w:w="540" w:type="dxa"/>
            <w:shd w:val="clear" w:color="auto" w:fill="FFFFFF"/>
            <w:vAlign w:val="center"/>
          </w:tcPr>
          <w:p>
            <w:pPr>
              <w:pStyle w:val="27"/>
              <w:rPr>
                <w:color w:val="auto"/>
              </w:rPr>
            </w:pPr>
            <w:r>
              <w:rPr>
                <w:color w:val="auto"/>
              </w:rPr>
              <w:t>14</w:t>
            </w:r>
          </w:p>
        </w:tc>
        <w:tc>
          <w:tcPr>
            <w:tcW w:w="5293" w:type="dxa"/>
            <w:shd w:val="clear" w:color="auto" w:fill="FFFFFF"/>
            <w:vAlign w:val="center"/>
          </w:tcPr>
          <w:p>
            <w:pPr>
              <w:pStyle w:val="27"/>
              <w:rPr>
                <w:color w:val="auto"/>
              </w:rPr>
            </w:pPr>
            <w:r>
              <w:rPr>
                <w:color w:val="auto"/>
              </w:rPr>
              <w:t>交通系统综合应急响应时间（小时）</w:t>
            </w:r>
          </w:p>
        </w:tc>
        <w:tc>
          <w:tcPr>
            <w:tcW w:w="917" w:type="dxa"/>
            <w:shd w:val="clear" w:color="auto" w:fill="FFFFFF"/>
            <w:vAlign w:val="center"/>
          </w:tcPr>
          <w:p>
            <w:pPr>
              <w:pStyle w:val="27"/>
              <w:rPr>
                <w:color w:val="auto"/>
              </w:rPr>
            </w:pPr>
            <w:r>
              <w:rPr>
                <w:color w:val="auto"/>
              </w:rPr>
              <w:t>1</w:t>
            </w:r>
          </w:p>
        </w:tc>
        <w:tc>
          <w:tcPr>
            <w:tcW w:w="910" w:type="dxa"/>
            <w:shd w:val="clear" w:color="auto" w:fill="FFFFFF"/>
            <w:vAlign w:val="center"/>
          </w:tcPr>
          <w:p>
            <w:pPr>
              <w:pStyle w:val="27"/>
              <w:rPr>
                <w:color w:val="auto"/>
              </w:rPr>
            </w:pPr>
            <w:r>
              <w:rPr>
                <w:color w:val="auto"/>
              </w:rPr>
              <w:t>0.5</w:t>
            </w:r>
          </w:p>
        </w:tc>
      </w:tr>
    </w:tbl>
    <w:p>
      <w:pPr>
        <w:spacing w:after="156" w:afterLines="50" w:line="360" w:lineRule="auto"/>
        <w:jc w:val="center"/>
        <w:rPr>
          <w:rFonts w:ascii="Times New Roman" w:hAnsi="Times New Roman" w:eastAsia="宋体" w:cs="Times New Roman"/>
          <w:b/>
          <w:kern w:val="28"/>
          <w:sz w:val="24"/>
          <w:szCs w:val="24"/>
        </w:rPr>
      </w:pPr>
    </w:p>
    <w:p>
      <w:pPr>
        <w:keepNext/>
        <w:keepLines/>
        <w:spacing w:after="120"/>
        <w:outlineLvl w:val="0"/>
        <w:rPr>
          <w:rFonts w:ascii="Times New Roman" w:hAnsi="Times New Roman" w:eastAsia="黑体" w:cs="Times New Roman"/>
          <w:bCs/>
          <w:kern w:val="44"/>
          <w:sz w:val="32"/>
          <w:szCs w:val="44"/>
        </w:rPr>
      </w:pPr>
      <w:bookmarkStart w:id="2" w:name="_Toc78151570"/>
      <w:r>
        <w:rPr>
          <w:rFonts w:ascii="Times New Roman" w:hAnsi="Times New Roman" w:eastAsia="黑体" w:cs="Times New Roman"/>
          <w:bCs/>
          <w:kern w:val="44"/>
          <w:sz w:val="32"/>
          <w:szCs w:val="44"/>
        </w:rPr>
        <w:t>3</w:t>
      </w:r>
      <w:r>
        <w:rPr>
          <w:rFonts w:hint="eastAsia" w:ascii="Times New Roman" w:hAnsi="Times New Roman" w:eastAsia="黑体" w:cs="Times New Roman"/>
          <w:bCs/>
          <w:kern w:val="44"/>
          <w:sz w:val="32"/>
          <w:szCs w:val="44"/>
        </w:rPr>
        <w:t>规划协调性分析</w:t>
      </w:r>
      <w:bookmarkEnd w:id="2"/>
    </w:p>
    <w:p>
      <w:pPr>
        <w:adjustRightInd w:val="0"/>
        <w:snapToGrid w:val="0"/>
        <w:spacing w:line="360" w:lineRule="auto"/>
        <w:ind w:firstLine="480" w:firstLineChars="200"/>
        <w:rPr>
          <w:rFonts w:ascii="Times New Roman" w:hAnsi="Times New Roman" w:eastAsia="宋体" w:cs="Times New Roman"/>
          <w:sz w:val="24"/>
          <w:szCs w:val="24"/>
        </w:rPr>
      </w:pPr>
      <w:bookmarkStart w:id="3" w:name="_Toc78151571"/>
      <w:r>
        <w:rPr>
          <w:rFonts w:ascii="Times New Roman" w:hAnsi="Times New Roman" w:eastAsia="宋体" w:cs="Times New Roman"/>
          <w:sz w:val="24"/>
          <w:szCs w:val="24"/>
        </w:rPr>
        <w:t>本规划符合</w:t>
      </w:r>
      <w:r>
        <w:rPr>
          <w:rFonts w:hint="eastAsia" w:ascii="Times New Roman" w:hAnsi="Times New Roman" w:eastAsia="宋体" w:cs="Times New Roman"/>
          <w:sz w:val="24"/>
          <w:szCs w:val="24"/>
        </w:rPr>
        <w:t>交通强国建设纲要、</w:t>
      </w:r>
      <w:r>
        <w:rPr>
          <w:rFonts w:ascii="Times New Roman" w:hAnsi="Times New Roman" w:eastAsia="宋体" w:cs="Times New Roman"/>
          <w:sz w:val="24"/>
          <w:szCs w:val="24"/>
        </w:rPr>
        <w:t>综合立体交通网规划纲要、国家公路网规划（2013年-2030年）、</w:t>
      </w:r>
      <w:r>
        <w:rPr>
          <w:rFonts w:hint="eastAsia" w:ascii="Times New Roman" w:hAnsi="Times New Roman" w:eastAsia="宋体" w:cs="Times New Roman"/>
          <w:sz w:val="24"/>
          <w:szCs w:val="24"/>
        </w:rPr>
        <w:t>中长期铁路网规划（</w:t>
      </w:r>
      <w:r>
        <w:rPr>
          <w:rFonts w:ascii="Times New Roman" w:hAnsi="Times New Roman" w:eastAsia="宋体" w:cs="Times New Roman"/>
          <w:sz w:val="24"/>
          <w:szCs w:val="24"/>
        </w:rPr>
        <w:t>2016-2030年）</w:t>
      </w:r>
      <w:r>
        <w:rPr>
          <w:rFonts w:hint="eastAsia" w:ascii="Times New Roman" w:hAnsi="Times New Roman" w:eastAsia="宋体" w:cs="Times New Roman"/>
          <w:sz w:val="24"/>
          <w:szCs w:val="24"/>
        </w:rPr>
        <w:t>、全国民用运输机场布局规划、中长期油气管网规划</w:t>
      </w:r>
      <w:r>
        <w:rPr>
          <w:rFonts w:ascii="Times New Roman" w:hAnsi="Times New Roman" w:eastAsia="宋体" w:cs="Times New Roman"/>
          <w:sz w:val="24"/>
          <w:szCs w:val="24"/>
        </w:rPr>
        <w:t>等上位规划的要求；与</w:t>
      </w:r>
      <w:r>
        <w:rPr>
          <w:rFonts w:hint="eastAsia" w:ascii="Times New Roman" w:hAnsi="Times New Roman" w:eastAsia="宋体" w:cs="Times New Roman"/>
          <w:sz w:val="24"/>
          <w:szCs w:val="24"/>
        </w:rPr>
        <w:t>福建省普通国省干线公路网布局规划（</w:t>
      </w:r>
      <w:r>
        <w:rPr>
          <w:rFonts w:ascii="Times New Roman" w:hAnsi="Times New Roman" w:eastAsia="宋体" w:cs="Times New Roman"/>
          <w:sz w:val="24"/>
          <w:szCs w:val="24"/>
        </w:rPr>
        <w:t>2012-2030年）</w:t>
      </w:r>
      <w:r>
        <w:rPr>
          <w:rFonts w:hint="eastAsia" w:ascii="Times New Roman" w:hAnsi="Times New Roman" w:eastAsia="宋体" w:cs="Times New Roman"/>
          <w:sz w:val="24"/>
          <w:szCs w:val="24"/>
        </w:rPr>
        <w:t>、福建省高速公路网规划（</w:t>
      </w:r>
      <w:r>
        <w:rPr>
          <w:rFonts w:ascii="Times New Roman" w:hAnsi="Times New Roman" w:eastAsia="宋体" w:cs="Times New Roman"/>
          <w:sz w:val="24"/>
          <w:szCs w:val="24"/>
        </w:rPr>
        <w:t>2016-2030年）</w:t>
      </w:r>
      <w:r>
        <w:rPr>
          <w:rFonts w:hint="eastAsia" w:ascii="Times New Roman" w:hAnsi="Times New Roman" w:eastAsia="宋体" w:cs="Times New Roman"/>
          <w:sz w:val="24"/>
          <w:szCs w:val="24"/>
        </w:rPr>
        <w:t>、福建省中长期铁路网规划</w:t>
      </w:r>
      <w:r>
        <w:rPr>
          <w:rFonts w:ascii="Times New Roman" w:hAnsi="Times New Roman" w:eastAsia="宋体" w:cs="Times New Roman"/>
          <w:sz w:val="24"/>
          <w:szCs w:val="24"/>
        </w:rPr>
        <w:t>和</w:t>
      </w:r>
      <w:r>
        <w:rPr>
          <w:rFonts w:hint="eastAsia" w:ascii="Times New Roman" w:hAnsi="Times New Roman" w:eastAsia="宋体" w:cs="Times New Roman"/>
          <w:sz w:val="24"/>
          <w:szCs w:val="24"/>
        </w:rPr>
        <w:t>福建省沿海港口布局规划</w:t>
      </w:r>
      <w:r>
        <w:rPr>
          <w:rFonts w:ascii="Times New Roman" w:hAnsi="Times New Roman" w:eastAsia="宋体" w:cs="Times New Roman"/>
          <w:sz w:val="24"/>
          <w:szCs w:val="24"/>
        </w:rPr>
        <w:t>(2020-2035年)功能互补规划相互协调；也符合</w:t>
      </w:r>
      <w:r>
        <w:rPr>
          <w:rFonts w:hint="eastAsia" w:ascii="Times New Roman" w:hAnsi="Times New Roman" w:eastAsia="宋体" w:cs="Times New Roman"/>
          <w:sz w:val="24"/>
          <w:szCs w:val="24"/>
        </w:rPr>
        <w:t>福建省</w:t>
      </w:r>
      <w:r>
        <w:rPr>
          <w:rFonts w:ascii="Times New Roman" w:hAnsi="Times New Roman" w:eastAsia="宋体" w:cs="Times New Roman"/>
          <w:sz w:val="24"/>
          <w:szCs w:val="24"/>
        </w:rPr>
        <w:t>主体功能区规划、</w:t>
      </w:r>
      <w:r>
        <w:rPr>
          <w:rFonts w:hint="eastAsia" w:ascii="Times New Roman" w:hAnsi="Times New Roman" w:eastAsia="宋体" w:cs="Times New Roman"/>
          <w:sz w:val="24"/>
          <w:szCs w:val="24"/>
        </w:rPr>
        <w:t>福建省海洋功能区划（</w:t>
      </w:r>
      <w:r>
        <w:rPr>
          <w:rFonts w:ascii="Times New Roman" w:hAnsi="Times New Roman" w:eastAsia="宋体" w:cs="Times New Roman"/>
          <w:sz w:val="24"/>
          <w:szCs w:val="24"/>
        </w:rPr>
        <w:t>2011-2020年）、</w:t>
      </w:r>
      <w:r>
        <w:rPr>
          <w:rFonts w:hint="eastAsia" w:ascii="Times New Roman" w:hAnsi="Times New Roman" w:eastAsia="宋体" w:cs="Times New Roman"/>
          <w:sz w:val="24"/>
          <w:szCs w:val="24"/>
        </w:rPr>
        <w:t>福建省土地利用总体规划（</w:t>
      </w:r>
      <w:r>
        <w:rPr>
          <w:rFonts w:ascii="Times New Roman" w:hAnsi="Times New Roman" w:eastAsia="宋体" w:cs="Times New Roman"/>
          <w:sz w:val="24"/>
          <w:szCs w:val="24"/>
        </w:rPr>
        <w:t>2006－2020年）、</w:t>
      </w:r>
      <w:r>
        <w:rPr>
          <w:rFonts w:hint="eastAsia" w:ascii="Times New Roman" w:hAnsi="Times New Roman" w:eastAsia="宋体" w:cs="Times New Roman"/>
          <w:sz w:val="24"/>
          <w:szCs w:val="24"/>
        </w:rPr>
        <w:t>福建省水（环境）功能区划、福建省海洋环境保护规划（</w:t>
      </w:r>
      <w:r>
        <w:rPr>
          <w:rFonts w:ascii="Times New Roman" w:hAnsi="Times New Roman" w:eastAsia="宋体" w:cs="Times New Roman"/>
          <w:sz w:val="24"/>
          <w:szCs w:val="24"/>
        </w:rPr>
        <w:t>2011-2020年）</w:t>
      </w:r>
      <w:r>
        <w:rPr>
          <w:rFonts w:hint="eastAsia" w:ascii="Times New Roman" w:hAnsi="Times New Roman" w:eastAsia="宋体" w:cs="Times New Roman"/>
          <w:sz w:val="24"/>
          <w:szCs w:val="24"/>
        </w:rPr>
        <w:t>以及福建省矿产资源总体规划（</w:t>
      </w:r>
      <w:r>
        <w:rPr>
          <w:rFonts w:ascii="Times New Roman" w:hAnsi="Times New Roman" w:eastAsia="宋体" w:cs="Times New Roman"/>
          <w:sz w:val="24"/>
          <w:szCs w:val="24"/>
        </w:rPr>
        <w:t>2016-2020年）等环境约束型规划的具体要求。</w:t>
      </w:r>
      <w:r>
        <w:rPr>
          <w:rFonts w:hint="eastAsia" w:ascii="Times New Roman" w:hAnsi="Times New Roman" w:eastAsia="宋体" w:cs="Times New Roman"/>
          <w:sz w:val="24"/>
          <w:szCs w:val="24"/>
        </w:rPr>
        <w:t>与福建省环境质量底线、资源利用上线基本协调，</w:t>
      </w:r>
      <w:r>
        <w:rPr>
          <w:rFonts w:hint="eastAsia" w:ascii="Times New Roman" w:hAnsi="Times New Roman" w:eastAsia="宋体" w:cs="Times New Roman"/>
          <w:sz w:val="24"/>
          <w:szCs w:val="24"/>
          <w:lang w:eastAsia="zh-CN"/>
        </w:rPr>
        <w:t>在项目执行阶段应加强与国土空间规划、生态红线的协调工作</w:t>
      </w:r>
      <w:r>
        <w:rPr>
          <w:rFonts w:ascii="Times New Roman" w:hAnsi="Times New Roman" w:eastAsia="宋体" w:cs="Times New Roman"/>
          <w:sz w:val="24"/>
          <w:szCs w:val="24"/>
        </w:rPr>
        <w:t>。</w:t>
      </w:r>
      <w:bookmarkEnd w:id="3"/>
    </w:p>
    <w:p>
      <w:pPr>
        <w:keepNext/>
        <w:keepLines/>
        <w:spacing w:after="120" w:line="360" w:lineRule="auto"/>
        <w:outlineLvl w:val="0"/>
        <w:rPr>
          <w:rFonts w:ascii="Times New Roman" w:hAnsi="Times New Roman" w:eastAsia="黑体" w:cs="Times New Roman"/>
          <w:bCs/>
          <w:kern w:val="44"/>
          <w:sz w:val="32"/>
          <w:szCs w:val="44"/>
        </w:rPr>
      </w:pPr>
      <w:r>
        <w:fldChar w:fldCharType="begin"/>
      </w:r>
      <w:r>
        <w:instrText xml:space="preserve"> HYPERLINK "file:///E:\\2013临时工作\\自然基金\\国家公路网环评-汇总12.23.docx" \l "_Toc342893305" </w:instrText>
      </w:r>
      <w:r>
        <w:fldChar w:fldCharType="separate"/>
      </w:r>
      <w:bookmarkStart w:id="4" w:name="_Toc78151576"/>
      <w:r>
        <w:rPr>
          <w:rFonts w:ascii="Times New Roman" w:hAnsi="Times New Roman" w:eastAsia="黑体" w:cs="Times New Roman"/>
          <w:bCs/>
          <w:kern w:val="44"/>
          <w:sz w:val="32"/>
          <w:szCs w:val="44"/>
        </w:rPr>
        <w:t>4</w:t>
      </w:r>
      <w:r>
        <w:rPr>
          <w:rFonts w:ascii="Times New Roman" w:hAnsi="Times New Roman" w:eastAsia="黑体" w:cs="Times New Roman"/>
          <w:bCs/>
          <w:kern w:val="44"/>
          <w:sz w:val="32"/>
          <w:szCs w:val="44"/>
        </w:rPr>
        <w:fldChar w:fldCharType="end"/>
      </w:r>
      <w:r>
        <w:rPr>
          <w:rFonts w:hint="eastAsia" w:ascii="Times New Roman" w:hAnsi="Times New Roman" w:eastAsia="黑体" w:cs="Times New Roman"/>
          <w:bCs/>
          <w:kern w:val="44"/>
          <w:sz w:val="32"/>
          <w:szCs w:val="44"/>
        </w:rPr>
        <w:t>生态环境影响分析</w:t>
      </w:r>
      <w:bookmarkEnd w:id="4"/>
    </w:p>
    <w:p>
      <w:pPr>
        <w:keepNext/>
        <w:keepLines/>
        <w:spacing w:after="120" w:line="360" w:lineRule="auto"/>
        <w:outlineLvl w:val="1"/>
        <w:rPr>
          <w:rFonts w:ascii="Times New Roman" w:hAnsi="Times New Roman" w:eastAsia="黑体" w:cs="Times New Roman"/>
          <w:bCs/>
          <w:sz w:val="28"/>
          <w:szCs w:val="32"/>
        </w:rPr>
      </w:pPr>
      <w:r>
        <w:rPr>
          <w:rFonts w:hint="eastAsia" w:ascii="Times New Roman" w:hAnsi="Times New Roman" w:eastAsia="黑体" w:cs="Times New Roman"/>
          <w:bCs/>
          <w:sz w:val="28"/>
          <w:szCs w:val="32"/>
        </w:rPr>
        <w:t>4.1生态</w:t>
      </w:r>
      <w:r>
        <w:rPr>
          <w:rFonts w:ascii="Times New Roman" w:hAnsi="Times New Roman" w:eastAsia="黑体" w:cs="Times New Roman"/>
          <w:bCs/>
          <w:sz w:val="28"/>
          <w:szCs w:val="32"/>
        </w:rPr>
        <w:t>影响分析</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w:t>
      </w:r>
      <w:r>
        <w:rPr>
          <w:rFonts w:ascii="Times New Roman" w:hAnsi="Times New Roman" w:eastAsia="宋体" w:cs="Times New Roman"/>
          <w:sz w:val="24"/>
        </w:rPr>
        <w:t>自然生态系统</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福建省综合立体交通网规划穿越陆地生态系统长度</w:t>
      </w:r>
      <w:r>
        <w:rPr>
          <w:rFonts w:ascii="Times New Roman" w:hAnsi="Times New Roman" w:eastAsia="宋体" w:cs="Times New Roman"/>
          <w:sz w:val="24"/>
        </w:rPr>
        <w:t>36318.10km，其中穿越森林、草地、水体与湿地、荒漠等自然生态系统长度总计27164.93km，穿越农田及其他人工生态系统的线路总长9153.18km。</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w:t>
      </w:r>
      <w:r>
        <w:rPr>
          <w:rFonts w:ascii="Times New Roman" w:hAnsi="Times New Roman" w:eastAsia="宋体" w:cs="Times New Roman"/>
          <w:sz w:val="24"/>
        </w:rPr>
        <w:t>生态敏感目标</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福建省立体综合交通网规划包含铁路网、公路网、水运设施、民航机场、油气管道、综合枢纽等全部交通运输项目，本次规划民航机场、综合枢纽、枢纽港区等建设项目只有项目名称、无具体项目位置，因此本次规划与生态敏感区叠加分析仅包括铁路网、公路网、油气管道网、内河航道等规划和已建项目。</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w:t>
      </w:r>
      <w:r>
        <w:rPr>
          <w:rFonts w:ascii="Times New Roman" w:hAnsi="Times New Roman" w:eastAsia="宋体" w:cs="Times New Roman"/>
          <w:sz w:val="24"/>
        </w:rPr>
        <w:t>1）本次规划共可能</w:t>
      </w:r>
      <w:r>
        <w:rPr>
          <w:rFonts w:hint="eastAsia" w:ascii="Times New Roman" w:hAnsi="Times New Roman" w:eastAsia="宋体" w:cs="Times New Roman"/>
          <w:sz w:val="24"/>
          <w:lang w:eastAsia="zh-CN"/>
        </w:rPr>
        <w:t>可能涉及</w:t>
      </w:r>
      <w:r>
        <w:rPr>
          <w:rFonts w:ascii="Times New Roman" w:hAnsi="Times New Roman" w:eastAsia="宋体" w:cs="Times New Roman"/>
          <w:sz w:val="24"/>
        </w:rPr>
        <w:t>62个自然保护区</w:t>
      </w:r>
      <w:r>
        <w:rPr>
          <w:rFonts w:hint="eastAsia" w:ascii="Times New Roman" w:hAnsi="Times New Roman" w:eastAsia="宋体" w:cs="Times New Roman"/>
          <w:sz w:val="24"/>
        </w:rPr>
        <w:t>。其中，国家铁路网规划共</w:t>
      </w:r>
      <w:r>
        <w:rPr>
          <w:rFonts w:hint="eastAsia" w:ascii="Times New Roman" w:hAnsi="Times New Roman" w:eastAsia="宋体" w:cs="Times New Roman"/>
          <w:sz w:val="24"/>
          <w:lang w:eastAsia="zh-CN"/>
        </w:rPr>
        <w:t>可能涉及</w:t>
      </w:r>
      <w:r>
        <w:rPr>
          <w:rFonts w:ascii="Times New Roman" w:hAnsi="Times New Roman" w:eastAsia="宋体" w:cs="Times New Roman"/>
          <w:sz w:val="24"/>
        </w:rPr>
        <w:t>26个自然保护区，穿越长度共约228.46km。</w:t>
      </w:r>
      <w:r>
        <w:rPr>
          <w:rFonts w:hint="eastAsia" w:ascii="Times New Roman" w:hAnsi="Times New Roman" w:eastAsia="宋体" w:cs="Times New Roman"/>
          <w:sz w:val="24"/>
        </w:rPr>
        <w:t>城际铁路网规划共</w:t>
      </w:r>
      <w:r>
        <w:rPr>
          <w:rFonts w:hint="eastAsia" w:ascii="Times New Roman" w:hAnsi="Times New Roman" w:eastAsia="宋体" w:cs="Times New Roman"/>
          <w:sz w:val="24"/>
          <w:lang w:eastAsia="zh-CN"/>
        </w:rPr>
        <w:t>可能涉及</w:t>
      </w:r>
      <w:r>
        <w:rPr>
          <w:rFonts w:ascii="Times New Roman" w:hAnsi="Times New Roman" w:eastAsia="宋体" w:cs="Times New Roman"/>
          <w:sz w:val="24"/>
        </w:rPr>
        <w:t>9个自然保护区，穿越长度共约74.91km。</w:t>
      </w:r>
      <w:r>
        <w:rPr>
          <w:rFonts w:hint="eastAsia" w:ascii="Times New Roman" w:hAnsi="Times New Roman" w:eastAsia="宋体" w:cs="Times New Roman"/>
          <w:sz w:val="24"/>
        </w:rPr>
        <w:t>高速公路网规划共</w:t>
      </w:r>
      <w:r>
        <w:rPr>
          <w:rFonts w:hint="eastAsia" w:ascii="Times New Roman" w:hAnsi="Times New Roman" w:eastAsia="宋体" w:cs="Times New Roman"/>
          <w:sz w:val="24"/>
          <w:lang w:eastAsia="zh-CN"/>
        </w:rPr>
        <w:t>可能涉及</w:t>
      </w:r>
      <w:r>
        <w:rPr>
          <w:rFonts w:ascii="Times New Roman" w:hAnsi="Times New Roman" w:eastAsia="宋体" w:cs="Times New Roman"/>
          <w:sz w:val="24"/>
        </w:rPr>
        <w:t>26个自然保护区，穿越长度共约186.98km。</w:t>
      </w:r>
      <w:r>
        <w:rPr>
          <w:rFonts w:hint="eastAsia" w:ascii="Times New Roman" w:hAnsi="Times New Roman" w:eastAsia="宋体" w:cs="Times New Roman"/>
          <w:sz w:val="24"/>
        </w:rPr>
        <w:t>国省干线网规划共</w:t>
      </w:r>
      <w:r>
        <w:rPr>
          <w:rFonts w:hint="eastAsia" w:ascii="Times New Roman" w:hAnsi="Times New Roman" w:eastAsia="宋体" w:cs="Times New Roman"/>
          <w:sz w:val="24"/>
          <w:lang w:eastAsia="zh-CN"/>
        </w:rPr>
        <w:t>可能涉及</w:t>
      </w:r>
      <w:r>
        <w:rPr>
          <w:rFonts w:ascii="Times New Roman" w:hAnsi="Times New Roman" w:eastAsia="宋体" w:cs="Times New Roman"/>
          <w:sz w:val="24"/>
        </w:rPr>
        <w:t>50个自然保护区，穿越长度共约422.43km。</w:t>
      </w:r>
      <w:r>
        <w:rPr>
          <w:rFonts w:hint="eastAsia" w:ascii="Times New Roman" w:hAnsi="Times New Roman" w:eastAsia="宋体" w:cs="Times New Roman"/>
          <w:sz w:val="24"/>
        </w:rPr>
        <w:t>成品油管道网规划共</w:t>
      </w:r>
      <w:r>
        <w:rPr>
          <w:rFonts w:hint="eastAsia" w:ascii="Times New Roman" w:hAnsi="Times New Roman" w:eastAsia="宋体" w:cs="Times New Roman"/>
          <w:sz w:val="24"/>
          <w:lang w:eastAsia="zh-CN"/>
        </w:rPr>
        <w:t>可能涉及</w:t>
      </w:r>
      <w:r>
        <w:rPr>
          <w:rFonts w:ascii="Times New Roman" w:hAnsi="Times New Roman" w:eastAsia="宋体" w:cs="Times New Roman"/>
          <w:sz w:val="24"/>
        </w:rPr>
        <w:t>6个自然保护区，穿越长度约46.22km。</w:t>
      </w:r>
      <w:r>
        <w:rPr>
          <w:rFonts w:hint="eastAsia" w:ascii="Times New Roman" w:hAnsi="Times New Roman" w:eastAsia="宋体" w:cs="Times New Roman"/>
          <w:sz w:val="24"/>
        </w:rPr>
        <w:t>成品油管道网规划已建管道</w:t>
      </w:r>
      <w:r>
        <w:rPr>
          <w:rFonts w:hint="eastAsia" w:ascii="Times New Roman" w:hAnsi="Times New Roman" w:eastAsia="宋体" w:cs="Times New Roman"/>
          <w:sz w:val="24"/>
          <w:lang w:eastAsia="zh-CN"/>
        </w:rPr>
        <w:t>可能涉及</w:t>
      </w:r>
      <w:r>
        <w:rPr>
          <w:rFonts w:hint="eastAsia" w:ascii="Times New Roman" w:hAnsi="Times New Roman" w:eastAsia="宋体" w:cs="Times New Roman"/>
          <w:sz w:val="24"/>
        </w:rPr>
        <w:t>厦门珍稀海洋物种国家级自然保护区，穿越长度约</w:t>
      </w:r>
      <w:r>
        <w:rPr>
          <w:rFonts w:ascii="Times New Roman" w:hAnsi="Times New Roman" w:eastAsia="宋体" w:cs="Times New Roman"/>
          <w:sz w:val="24"/>
        </w:rPr>
        <w:t>2.53km。</w:t>
      </w:r>
      <w:r>
        <w:rPr>
          <w:rFonts w:hint="eastAsia" w:ascii="Times New Roman" w:hAnsi="Times New Roman" w:eastAsia="宋体" w:cs="Times New Roman"/>
          <w:sz w:val="24"/>
        </w:rPr>
        <w:t>天然气管道网规划共</w:t>
      </w:r>
      <w:r>
        <w:rPr>
          <w:rFonts w:hint="eastAsia" w:ascii="Times New Roman" w:hAnsi="Times New Roman" w:eastAsia="宋体" w:cs="Times New Roman"/>
          <w:sz w:val="24"/>
          <w:lang w:eastAsia="zh-CN"/>
        </w:rPr>
        <w:t>可能涉及</w:t>
      </w:r>
      <w:r>
        <w:rPr>
          <w:rFonts w:ascii="Times New Roman" w:hAnsi="Times New Roman" w:eastAsia="宋体" w:cs="Times New Roman"/>
          <w:sz w:val="24"/>
        </w:rPr>
        <w:t>6个自然保护区，穿越长度约52.38km。</w:t>
      </w:r>
      <w:r>
        <w:rPr>
          <w:rFonts w:hint="eastAsia" w:ascii="Times New Roman" w:hAnsi="Times New Roman" w:eastAsia="宋体" w:cs="Times New Roman"/>
          <w:sz w:val="24"/>
        </w:rPr>
        <w:t>福建省水运规划网内仅有东渡港区临近厦门珍稀海洋物种国家级自然保护区。福建省民航运输规划网共临近</w:t>
      </w:r>
      <w:r>
        <w:rPr>
          <w:rFonts w:ascii="Times New Roman" w:hAnsi="Times New Roman" w:eastAsia="宋体" w:cs="Times New Roman"/>
          <w:sz w:val="24"/>
        </w:rPr>
        <w:t>1个自然保护区</w:t>
      </w:r>
      <w:r>
        <w:rPr>
          <w:rFonts w:hint="eastAsia" w:ascii="Times New Roman" w:hAnsi="Times New Roman" w:eastAsia="宋体" w:cs="Times New Roman"/>
          <w:sz w:val="24"/>
        </w:rPr>
        <w:t>。福建省货运枢纽规划网共临近</w:t>
      </w:r>
      <w:r>
        <w:rPr>
          <w:rFonts w:ascii="Times New Roman" w:hAnsi="Times New Roman" w:eastAsia="宋体" w:cs="Times New Roman"/>
          <w:sz w:val="24"/>
        </w:rPr>
        <w:t>3个自然保护区。</w:t>
      </w:r>
      <w:r>
        <w:rPr>
          <w:rFonts w:hint="eastAsia" w:ascii="Times New Roman" w:hAnsi="Times New Roman" w:eastAsia="宋体" w:cs="Times New Roman"/>
          <w:sz w:val="24"/>
        </w:rPr>
        <w:t>福建省客运枢纽规划网共临近</w:t>
      </w:r>
      <w:r>
        <w:rPr>
          <w:rFonts w:ascii="Times New Roman" w:hAnsi="Times New Roman" w:eastAsia="宋体" w:cs="Times New Roman"/>
          <w:sz w:val="24"/>
        </w:rPr>
        <w:t>2个自然保护区。</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w:t>
      </w:r>
      <w:r>
        <w:rPr>
          <w:rFonts w:ascii="Times New Roman" w:hAnsi="Times New Roman" w:eastAsia="宋体" w:cs="Times New Roman"/>
          <w:sz w:val="24"/>
        </w:rPr>
        <w:t>2）本次规划共</w:t>
      </w:r>
      <w:r>
        <w:rPr>
          <w:rFonts w:hint="eastAsia" w:ascii="Times New Roman" w:hAnsi="Times New Roman" w:eastAsia="宋体" w:cs="Times New Roman"/>
          <w:sz w:val="24"/>
          <w:lang w:eastAsia="zh-CN"/>
        </w:rPr>
        <w:t>可能涉及</w:t>
      </w:r>
      <w:r>
        <w:rPr>
          <w:rFonts w:ascii="Times New Roman" w:hAnsi="Times New Roman" w:eastAsia="宋体" w:cs="Times New Roman"/>
          <w:sz w:val="24"/>
        </w:rPr>
        <w:t>18个国家级风景名胜区；</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w:t>
      </w:r>
      <w:r>
        <w:rPr>
          <w:rFonts w:ascii="Times New Roman" w:hAnsi="Times New Roman" w:eastAsia="宋体" w:cs="Times New Roman"/>
          <w:sz w:val="24"/>
        </w:rPr>
        <w:t>3）本次规划评价范围内共</w:t>
      </w:r>
      <w:r>
        <w:rPr>
          <w:rFonts w:hint="eastAsia" w:ascii="Times New Roman" w:hAnsi="Times New Roman" w:eastAsia="宋体" w:cs="Times New Roman"/>
          <w:sz w:val="24"/>
          <w:lang w:eastAsia="zh-CN"/>
        </w:rPr>
        <w:t>可能涉及</w:t>
      </w:r>
      <w:r>
        <w:rPr>
          <w:rFonts w:ascii="Times New Roman" w:hAnsi="Times New Roman" w:eastAsia="宋体" w:cs="Times New Roman"/>
          <w:sz w:val="24"/>
        </w:rPr>
        <w:t>1个世界文化和自然遗产；</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w:t>
      </w:r>
      <w:r>
        <w:rPr>
          <w:rFonts w:ascii="Times New Roman" w:hAnsi="Times New Roman" w:eastAsia="宋体" w:cs="Times New Roman"/>
          <w:sz w:val="24"/>
        </w:rPr>
        <w:t>4）本次规划共</w:t>
      </w:r>
      <w:r>
        <w:rPr>
          <w:rFonts w:hint="eastAsia" w:ascii="Times New Roman" w:hAnsi="Times New Roman" w:eastAsia="宋体" w:cs="Times New Roman"/>
          <w:sz w:val="24"/>
          <w:lang w:eastAsia="zh-CN"/>
        </w:rPr>
        <w:t>可能涉及</w:t>
      </w:r>
      <w:r>
        <w:rPr>
          <w:rFonts w:ascii="Times New Roman" w:hAnsi="Times New Roman" w:eastAsia="宋体" w:cs="Times New Roman"/>
          <w:sz w:val="24"/>
        </w:rPr>
        <w:t>24个国家级森林公园；</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w:t>
      </w:r>
      <w:r>
        <w:rPr>
          <w:rFonts w:ascii="Times New Roman" w:hAnsi="Times New Roman" w:eastAsia="宋体" w:cs="Times New Roman"/>
          <w:sz w:val="24"/>
        </w:rPr>
        <w:t>5）本次规划评价范围内共</w:t>
      </w:r>
      <w:r>
        <w:rPr>
          <w:rFonts w:hint="eastAsia" w:ascii="Times New Roman" w:hAnsi="Times New Roman" w:eastAsia="宋体" w:cs="Times New Roman"/>
          <w:sz w:val="24"/>
          <w:lang w:eastAsia="zh-CN"/>
        </w:rPr>
        <w:t>可能涉及</w:t>
      </w:r>
      <w:r>
        <w:rPr>
          <w:rFonts w:ascii="Times New Roman" w:hAnsi="Times New Roman" w:eastAsia="宋体" w:cs="Times New Roman"/>
          <w:sz w:val="24"/>
        </w:rPr>
        <w:t>9个国家地质公园；</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w:t>
      </w:r>
      <w:r>
        <w:rPr>
          <w:rFonts w:ascii="Times New Roman" w:hAnsi="Times New Roman" w:eastAsia="宋体" w:cs="Times New Roman"/>
          <w:sz w:val="24"/>
        </w:rPr>
        <w:t>6）本次规划评价范围内共</w:t>
      </w:r>
      <w:r>
        <w:rPr>
          <w:rFonts w:hint="eastAsia" w:ascii="Times New Roman" w:hAnsi="Times New Roman" w:eastAsia="宋体" w:cs="Times New Roman"/>
          <w:sz w:val="24"/>
          <w:lang w:eastAsia="zh-CN"/>
        </w:rPr>
        <w:t>可能涉及</w:t>
      </w:r>
      <w:r>
        <w:rPr>
          <w:rFonts w:ascii="Times New Roman" w:hAnsi="Times New Roman" w:eastAsia="宋体" w:cs="Times New Roman"/>
          <w:sz w:val="24"/>
        </w:rPr>
        <w:t>2个重要湿地公园；</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w:t>
      </w:r>
      <w:r>
        <w:rPr>
          <w:rFonts w:ascii="Times New Roman" w:hAnsi="Times New Roman" w:eastAsia="宋体" w:cs="Times New Roman"/>
          <w:sz w:val="24"/>
        </w:rPr>
        <w:t>7）本次规划共</w:t>
      </w:r>
      <w:r>
        <w:rPr>
          <w:rFonts w:hint="eastAsia" w:ascii="Times New Roman" w:hAnsi="Times New Roman" w:eastAsia="宋体" w:cs="Times New Roman"/>
          <w:sz w:val="24"/>
          <w:lang w:eastAsia="zh-CN"/>
        </w:rPr>
        <w:t>可能涉及</w:t>
      </w:r>
      <w:r>
        <w:rPr>
          <w:rFonts w:ascii="Times New Roman" w:hAnsi="Times New Roman" w:eastAsia="宋体" w:cs="Times New Roman"/>
          <w:sz w:val="24"/>
        </w:rPr>
        <w:t>5个国家级水产种质资源保护区；</w:t>
      </w:r>
    </w:p>
    <w:p>
      <w:pPr>
        <w:spacing w:after="120"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w:t>
      </w:r>
      <w:r>
        <w:rPr>
          <w:rFonts w:ascii="Times New Roman" w:hAnsi="Times New Roman" w:eastAsia="宋体" w:cs="Times New Roman"/>
          <w:sz w:val="24"/>
        </w:rPr>
        <w:t>8）本次规划</w:t>
      </w:r>
      <w:r>
        <w:rPr>
          <w:rFonts w:hint="eastAsia" w:ascii="Times New Roman" w:hAnsi="Times New Roman" w:eastAsia="宋体" w:cs="Times New Roman"/>
          <w:sz w:val="24"/>
          <w:lang w:eastAsia="zh-CN"/>
        </w:rPr>
        <w:t>可能涉及</w:t>
      </w:r>
      <w:r>
        <w:rPr>
          <w:rFonts w:ascii="Times New Roman" w:hAnsi="Times New Roman" w:eastAsia="宋体" w:cs="Times New Roman"/>
          <w:sz w:val="24"/>
        </w:rPr>
        <w:t>生态保护红线，穿越长度约5261.91km；。</w:t>
      </w:r>
    </w:p>
    <w:p>
      <w:pPr>
        <w:keepNext/>
        <w:keepLines/>
        <w:spacing w:after="120"/>
        <w:outlineLvl w:val="1"/>
        <w:rPr>
          <w:rFonts w:ascii="Times New Roman" w:hAnsi="Times New Roman" w:eastAsia="黑体" w:cs="Times New Roman"/>
          <w:bCs/>
          <w:sz w:val="28"/>
          <w:szCs w:val="32"/>
        </w:rPr>
      </w:pPr>
      <w:r>
        <w:rPr>
          <w:rFonts w:hint="eastAsia" w:ascii="Times New Roman" w:hAnsi="Times New Roman" w:eastAsia="黑体" w:cs="Times New Roman"/>
          <w:bCs/>
          <w:sz w:val="28"/>
          <w:szCs w:val="32"/>
        </w:rPr>
        <w:t>4.2水环境</w:t>
      </w:r>
      <w:r>
        <w:rPr>
          <w:rFonts w:ascii="Times New Roman" w:hAnsi="Times New Roman" w:eastAsia="黑体" w:cs="Times New Roman"/>
          <w:bCs/>
          <w:sz w:val="28"/>
          <w:szCs w:val="32"/>
        </w:rPr>
        <w:t>影响分析</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本次规划中污水影响主要来自施工过程，其主要为临时性排水，将随着施工结束而结束，且规划路网整体新建道路规模小，废水排放总量不大，随着建设与运营的绿色资源化，污水的有效处理和合理回用将极大降低对水环境的影响</w:t>
      </w:r>
      <w:r>
        <w:rPr>
          <w:rFonts w:ascii="Times New Roman" w:hAnsi="Times New Roman" w:eastAsia="宋体" w:cs="Times New Roman"/>
          <w:sz w:val="24"/>
        </w:rPr>
        <w:t>。</w:t>
      </w:r>
    </w:p>
    <w:p>
      <w:pPr>
        <w:keepNext/>
        <w:keepLines/>
        <w:spacing w:after="120"/>
        <w:outlineLvl w:val="1"/>
        <w:rPr>
          <w:rFonts w:ascii="Times New Roman" w:hAnsi="Times New Roman" w:eastAsia="黑体" w:cs="Times New Roman"/>
          <w:bCs/>
          <w:sz w:val="28"/>
          <w:szCs w:val="32"/>
        </w:rPr>
      </w:pPr>
      <w:r>
        <w:rPr>
          <w:rFonts w:ascii="Times New Roman" w:hAnsi="Times New Roman" w:eastAsia="黑体" w:cs="Times New Roman"/>
          <w:bCs/>
          <w:sz w:val="28"/>
          <w:szCs w:val="32"/>
        </w:rPr>
        <w:t>4.3</w:t>
      </w:r>
      <w:r>
        <w:rPr>
          <w:rFonts w:hint="eastAsia" w:ascii="Times New Roman" w:hAnsi="Times New Roman" w:eastAsia="黑体" w:cs="Times New Roman"/>
          <w:bCs/>
          <w:sz w:val="28"/>
          <w:szCs w:val="32"/>
        </w:rPr>
        <w:t>大气</w:t>
      </w:r>
      <w:r>
        <w:rPr>
          <w:rFonts w:ascii="Times New Roman" w:hAnsi="Times New Roman" w:eastAsia="黑体" w:cs="Times New Roman"/>
          <w:bCs/>
          <w:sz w:val="28"/>
          <w:szCs w:val="32"/>
        </w:rPr>
        <w:t>环境影响分析</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从计算结果可以看出，从计算结果可以看出，福建省综合立体交通网建设完成后，</w:t>
      </w:r>
      <w:r>
        <w:rPr>
          <w:rFonts w:ascii="Times New Roman" w:hAnsi="Times New Roman" w:eastAsia="宋体" w:cs="Times New Roman"/>
          <w:sz w:val="24"/>
        </w:rPr>
        <w:t>NOx、CO、HC、SO2、PM10和PM2.5等几种主要污染物排放量将分别达到3.89万吨/年、11.27万吨/年、0.62万吨/年、0.007万吨/年、0.035万吨/年和0.034万吨/年。根据福建省“三线一单”最新研究成果，提出的福建省到2035年，全省SO2、NOx、PM2.5、VOCs等主要大气污染物最大允许年排放量分别为10.0万吨、37.6万吨、17.0万吨、34.5万吨。主要污染物排放NOx排放量约占省最大允许年排放量10%。</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福建省综合交通网规划实施后，增大了</w:t>
      </w:r>
      <w:r>
        <w:rPr>
          <w:rFonts w:ascii="Times New Roman" w:hAnsi="Times New Roman" w:eastAsia="宋体" w:cs="Times New Roman"/>
          <w:sz w:val="24"/>
        </w:rPr>
        <w:t>NOx、CO等污染物的浓度和排放量，但总体大气污染物排放总量比例较低。公路和铁路方面，交通量较大的城镇路段尾气排放量较大，对沿线大气敏感目标会形成一定影响，其它路段污染影响相对较小。在项目环评过程中，应该对这些特殊路段大气环境影响进行重点关注，防止对沿线的特殊敏感大气功能区造成严重影响。水运和航空方面，两种运输方式大气污染物排放总量占综合立体交通网整体排放总量的比重较低，运营期间不会对整体环境空气质量造成明显影响。但是港口和机场作为点源，与公路和铁路等线源相比，污染物排放相</w:t>
      </w:r>
      <w:r>
        <w:rPr>
          <w:rFonts w:hint="eastAsia" w:ascii="Times New Roman" w:hAnsi="Times New Roman" w:eastAsia="宋体" w:cs="Times New Roman"/>
          <w:sz w:val="24"/>
        </w:rPr>
        <w:t>对集中，因此要加强港口和机场内船舶、车辆、工程机械和扬尘等污染管控，关注港口和机场近周边区域大气环境影响</w:t>
      </w:r>
      <w:r>
        <w:rPr>
          <w:rFonts w:ascii="Times New Roman" w:hAnsi="Times New Roman" w:eastAsia="宋体" w:cs="Times New Roman"/>
          <w:sz w:val="24"/>
        </w:rPr>
        <w:t>。</w:t>
      </w:r>
    </w:p>
    <w:p>
      <w:pPr>
        <w:keepNext/>
        <w:keepLines/>
        <w:spacing w:after="120"/>
        <w:outlineLvl w:val="1"/>
        <w:rPr>
          <w:rFonts w:ascii="Times New Roman" w:hAnsi="Times New Roman" w:eastAsia="黑体" w:cs="Times New Roman"/>
          <w:bCs/>
          <w:sz w:val="28"/>
          <w:szCs w:val="32"/>
        </w:rPr>
      </w:pPr>
      <w:r>
        <w:rPr>
          <w:rFonts w:ascii="Times New Roman" w:hAnsi="Times New Roman" w:eastAsia="黑体" w:cs="Times New Roman"/>
          <w:bCs/>
          <w:sz w:val="28"/>
          <w:szCs w:val="32"/>
        </w:rPr>
        <w:t>4.4</w:t>
      </w:r>
      <w:r>
        <w:rPr>
          <w:rFonts w:hint="eastAsia" w:ascii="Times New Roman" w:hAnsi="Times New Roman" w:eastAsia="黑体" w:cs="Times New Roman"/>
          <w:bCs/>
          <w:sz w:val="28"/>
          <w:szCs w:val="32"/>
        </w:rPr>
        <w:t>声环境</w:t>
      </w:r>
      <w:r>
        <w:rPr>
          <w:rFonts w:ascii="Times New Roman" w:hAnsi="Times New Roman" w:eastAsia="黑体" w:cs="Times New Roman"/>
          <w:bCs/>
          <w:sz w:val="28"/>
          <w:szCs w:val="32"/>
        </w:rPr>
        <w:t>影响分析</w:t>
      </w:r>
    </w:p>
    <w:p>
      <w:pPr>
        <w:spacing w:after="156" w:afterLines="50" w:line="360" w:lineRule="auto"/>
        <w:ind w:firstLine="480" w:firstLineChars="20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rPr>
        <w:t>根据不同交通类别的预测结果，分别存在一定的达标距离。由于规划阶段的众多不确定性，因此预测过程中对于无法确定的参数进行了简化，因此预测结果比实际会出现偏差。同时考虑路面材料，传播途中吸收、反射等衰减影响后，规划线路沿线实际噪声值会大大低于预测结果。在具体项目进行可研阶段，应结合具体地形地貌、线路走向和遮挡等情况进行进一步的参数细化和预测，详细评价新建交通路线与城市人口集聚区等声环境敏感区的位置关系，建议尽可能绕避声环境敏感区，无法绕避的线路建议优先采取高架、隧道下穿等方式，并提出详细的工程降噪措施</w:t>
      </w:r>
      <w:r>
        <w:rPr>
          <w:rFonts w:ascii="Times New Roman" w:hAnsi="Times New Roman" w:eastAsia="宋体" w:cs="Times New Roman"/>
          <w:color w:val="000000"/>
          <w:sz w:val="24"/>
          <w:szCs w:val="24"/>
        </w:rPr>
        <w:t>。</w:t>
      </w:r>
    </w:p>
    <w:p>
      <w:pPr>
        <w:keepNext/>
        <w:keepLines/>
        <w:spacing w:after="120"/>
        <w:outlineLvl w:val="1"/>
        <w:rPr>
          <w:rFonts w:ascii="Times New Roman" w:hAnsi="Times New Roman" w:eastAsia="黑体" w:cs="Times New Roman"/>
          <w:bCs/>
          <w:sz w:val="28"/>
          <w:szCs w:val="32"/>
        </w:rPr>
      </w:pPr>
      <w:r>
        <w:rPr>
          <w:rFonts w:ascii="Times New Roman" w:hAnsi="Times New Roman" w:eastAsia="黑体" w:cs="Times New Roman"/>
          <w:bCs/>
          <w:sz w:val="28"/>
          <w:szCs w:val="32"/>
        </w:rPr>
        <w:t>4.5</w:t>
      </w:r>
      <w:r>
        <w:rPr>
          <w:rFonts w:hint="eastAsia" w:ascii="Times New Roman" w:hAnsi="Times New Roman" w:eastAsia="黑体" w:cs="Times New Roman"/>
          <w:bCs/>
          <w:sz w:val="28"/>
          <w:szCs w:val="32"/>
        </w:rPr>
        <w:t>固体废弃物影响分析</w:t>
      </w:r>
    </w:p>
    <w:p>
      <w:pPr>
        <w:spacing w:after="156" w:afterLines="50" w:line="360" w:lineRule="auto"/>
        <w:ind w:firstLine="480" w:firstLineChars="200"/>
        <w:rPr>
          <w:rFonts w:ascii="Times New Roman" w:hAnsi="Times New Roman" w:eastAsia="宋体" w:cs="Times New Roman"/>
          <w:kern w:val="0"/>
          <w:sz w:val="24"/>
          <w:szCs w:val="20"/>
        </w:rPr>
      </w:pPr>
      <w:r>
        <w:rPr>
          <w:rFonts w:ascii="Times New Roman" w:hAnsi="Times New Roman" w:eastAsia="宋体" w:cs="Times New Roman"/>
          <w:kern w:val="0"/>
          <w:sz w:val="24"/>
          <w:szCs w:val="20"/>
        </w:rPr>
        <w:t>在规划项目的运营过程中，可能产生的固体废物主要有相关从业人员生活垃圾，设备检修等维护垃圾及含油垃圾。</w:t>
      </w:r>
    </w:p>
    <w:p>
      <w:pPr>
        <w:spacing w:after="156" w:afterLines="50" w:line="360" w:lineRule="auto"/>
        <w:ind w:firstLine="480" w:firstLineChars="200"/>
        <w:rPr>
          <w:rFonts w:ascii="Times New Roman" w:hAnsi="Times New Roman" w:eastAsia="宋体" w:cs="Times New Roman"/>
          <w:kern w:val="0"/>
          <w:sz w:val="24"/>
          <w:szCs w:val="20"/>
        </w:rPr>
      </w:pPr>
      <w:r>
        <w:rPr>
          <w:rFonts w:hint="eastAsia" w:ascii="宋体" w:hAnsi="宋体" w:eastAsia="宋体" w:cs="宋体"/>
          <w:kern w:val="0"/>
          <w:sz w:val="24"/>
          <w:szCs w:val="20"/>
        </w:rPr>
        <w:t>①</w:t>
      </w:r>
      <w:r>
        <w:rPr>
          <w:rFonts w:ascii="Times New Roman" w:hAnsi="Times New Roman" w:eastAsia="宋体" w:cs="Times New Roman"/>
          <w:kern w:val="0"/>
          <w:sz w:val="24"/>
          <w:szCs w:val="20"/>
        </w:rPr>
        <w:t xml:space="preserve"> 生活垃圾</w:t>
      </w:r>
    </w:p>
    <w:p>
      <w:pPr>
        <w:spacing w:after="156" w:afterLines="50" w:line="360" w:lineRule="auto"/>
        <w:ind w:firstLine="480" w:firstLineChars="200"/>
        <w:rPr>
          <w:rFonts w:ascii="Times New Roman" w:hAnsi="Times New Roman" w:eastAsia="宋体" w:cs="Times New Roman"/>
          <w:kern w:val="0"/>
          <w:sz w:val="24"/>
          <w:szCs w:val="20"/>
        </w:rPr>
      </w:pPr>
      <w:r>
        <w:rPr>
          <w:rFonts w:ascii="Times New Roman" w:hAnsi="Times New Roman" w:eastAsia="宋体" w:cs="Times New Roman"/>
          <w:kern w:val="0"/>
          <w:sz w:val="24"/>
          <w:szCs w:val="20"/>
        </w:rPr>
        <w:t>在车站，机场、服务区、加油站、货运站场等有人员活动的地方会产生一些生活垃圾，这些生活垃圾依托当地市政共用设施，进行妥善处理后，不会对区域产生较大影响。同时，由于收费站和服务区的分布较为分散，不会产生积累效应，城市的车站等通过垃圾集中收集和转运不会对环境产生明显影响。</w:t>
      </w:r>
    </w:p>
    <w:p>
      <w:pPr>
        <w:spacing w:after="156" w:afterLines="50" w:line="360" w:lineRule="auto"/>
        <w:ind w:firstLine="480" w:firstLineChars="200"/>
        <w:rPr>
          <w:rFonts w:ascii="Times New Roman" w:hAnsi="Times New Roman" w:eastAsia="宋体" w:cs="Times New Roman"/>
          <w:kern w:val="0"/>
          <w:sz w:val="24"/>
          <w:szCs w:val="20"/>
        </w:rPr>
      </w:pPr>
      <w:r>
        <w:rPr>
          <w:rFonts w:hint="eastAsia" w:ascii="宋体" w:hAnsi="宋体" w:eastAsia="宋体" w:cs="宋体"/>
          <w:kern w:val="0"/>
          <w:sz w:val="24"/>
          <w:szCs w:val="20"/>
        </w:rPr>
        <w:t>②</w:t>
      </w:r>
      <w:r>
        <w:rPr>
          <w:rFonts w:ascii="Times New Roman" w:hAnsi="Times New Roman" w:eastAsia="宋体" w:cs="Times New Roman"/>
          <w:kern w:val="0"/>
          <w:sz w:val="24"/>
          <w:szCs w:val="20"/>
        </w:rPr>
        <w:t xml:space="preserve"> 检修维护垃圾</w:t>
      </w:r>
    </w:p>
    <w:p>
      <w:pPr>
        <w:spacing w:after="156" w:afterLines="50" w:line="360" w:lineRule="auto"/>
        <w:ind w:firstLine="480" w:firstLineChars="200"/>
        <w:rPr>
          <w:rFonts w:ascii="Times New Roman" w:hAnsi="Times New Roman" w:eastAsia="宋体" w:cs="Times New Roman"/>
          <w:kern w:val="0"/>
          <w:sz w:val="24"/>
          <w:szCs w:val="20"/>
        </w:rPr>
      </w:pPr>
      <w:r>
        <w:rPr>
          <w:rFonts w:ascii="Times New Roman" w:hAnsi="Times New Roman" w:eastAsia="宋体" w:cs="Times New Roman"/>
          <w:kern w:val="0"/>
          <w:sz w:val="24"/>
          <w:szCs w:val="20"/>
        </w:rPr>
        <w:t>在项目设备维护检修时，会产生一些固废。如管道工程的清管收球固废和分离器检修粉尘等都属于一般工业固废，并且产生量较小，一般交由当地环卫部门清运即可，对周围环境的影响不大。</w:t>
      </w:r>
    </w:p>
    <w:p>
      <w:pPr>
        <w:spacing w:after="156" w:afterLines="50" w:line="360" w:lineRule="auto"/>
        <w:ind w:firstLine="480" w:firstLineChars="200"/>
        <w:rPr>
          <w:rFonts w:ascii="Times New Roman" w:hAnsi="Times New Roman" w:eastAsia="宋体" w:cs="Times New Roman"/>
          <w:kern w:val="0"/>
          <w:sz w:val="24"/>
          <w:szCs w:val="20"/>
        </w:rPr>
      </w:pPr>
      <w:r>
        <w:rPr>
          <w:rFonts w:hint="eastAsia" w:ascii="宋体" w:hAnsi="宋体" w:eastAsia="宋体" w:cs="宋体"/>
          <w:kern w:val="0"/>
          <w:sz w:val="24"/>
          <w:szCs w:val="20"/>
        </w:rPr>
        <w:t>③</w:t>
      </w:r>
      <w:r>
        <w:rPr>
          <w:rFonts w:ascii="Times New Roman" w:hAnsi="Times New Roman" w:eastAsia="宋体" w:cs="Times New Roman"/>
          <w:kern w:val="0"/>
          <w:sz w:val="24"/>
          <w:szCs w:val="20"/>
        </w:rPr>
        <w:t xml:space="preserve"> 含油垃圾</w:t>
      </w:r>
    </w:p>
    <w:p>
      <w:pPr>
        <w:spacing w:after="156" w:afterLines="50" w:line="360" w:lineRule="auto"/>
        <w:ind w:firstLine="480" w:firstLineChars="200"/>
        <w:rPr>
          <w:rFonts w:ascii="Times New Roman" w:hAnsi="Times New Roman" w:eastAsia="宋体" w:cs="Times New Roman"/>
          <w:kern w:val="0"/>
          <w:sz w:val="24"/>
          <w:szCs w:val="20"/>
        </w:rPr>
      </w:pPr>
      <w:r>
        <w:rPr>
          <w:rFonts w:ascii="Times New Roman" w:hAnsi="Times New Roman" w:eastAsia="宋体" w:cs="Times New Roman"/>
          <w:kern w:val="0"/>
          <w:sz w:val="24"/>
          <w:szCs w:val="20"/>
        </w:rPr>
        <w:t>规划项目运营期产生的含油垃圾主要有通航船舶上的含油废渣、铁路机车在检测与维修，即线路的日常保养、临修、超限调整等机械保养时产生的含油废抹布及其他生产废料铁路机车检修保养的含油抹布、机场油库清理的含油污泥及少量废油等。</w:t>
      </w:r>
    </w:p>
    <w:p>
      <w:pPr>
        <w:spacing w:after="156" w:afterLines="50" w:line="360" w:lineRule="auto"/>
        <w:ind w:firstLine="480" w:firstLineChars="200"/>
        <w:rPr>
          <w:rFonts w:ascii="Times New Roman" w:hAnsi="Times New Roman" w:eastAsia="宋体" w:cs="Times New Roman"/>
          <w:color w:val="000000"/>
          <w:sz w:val="24"/>
          <w:szCs w:val="24"/>
        </w:rPr>
      </w:pPr>
      <w:r>
        <w:rPr>
          <w:rFonts w:ascii="Times New Roman" w:hAnsi="Times New Roman" w:eastAsia="宋体" w:cs="Times New Roman"/>
          <w:kern w:val="0"/>
          <w:sz w:val="24"/>
          <w:szCs w:val="20"/>
        </w:rPr>
        <w:t>根据《国家危险废物名录》（2016 年版），废弃的含油抹布、劳保用品（900-041-49）混入生活垃圾的属豁免废物，全过程可不按危险废物管理外，其他的含油抹布，船舶含油废渣及机场油库的含油污泥等均属于危险废物，需经收集后统一存放，并需注意防渗，防漏，最后交由有危险废物处置资质的专业处理单位接收处置。如果处置合理得当，对环境影响较小。</w:t>
      </w:r>
      <w:r>
        <w:rPr>
          <w:rFonts w:ascii="Times New Roman" w:hAnsi="Times New Roman" w:eastAsia="宋体" w:cs="Times New Roman"/>
          <w:sz w:val="24"/>
        </w:rPr>
        <w:t xml:space="preserve"> </w:t>
      </w:r>
    </w:p>
    <w:p>
      <w:pPr>
        <w:keepNext/>
        <w:keepLines/>
        <w:spacing w:after="120"/>
        <w:outlineLvl w:val="0"/>
        <w:rPr>
          <w:rFonts w:ascii="Times New Roman" w:hAnsi="Times New Roman" w:eastAsia="黑体" w:cs="Times New Roman"/>
          <w:b/>
          <w:bCs/>
          <w:kern w:val="44"/>
          <w:sz w:val="32"/>
          <w:szCs w:val="28"/>
        </w:rPr>
      </w:pPr>
      <w:r>
        <w:fldChar w:fldCharType="begin"/>
      </w:r>
      <w:r>
        <w:instrText xml:space="preserve"> HYPERLINK "file:///E:\\2013临时工作\\自然基金\\国家公路网环评-汇总12.23.docx" \l "_Toc342893318" </w:instrText>
      </w:r>
      <w:r>
        <w:fldChar w:fldCharType="separate"/>
      </w:r>
      <w:bookmarkStart w:id="5" w:name="_Toc78151589"/>
      <w:r>
        <w:rPr>
          <w:rFonts w:ascii="Times New Roman" w:hAnsi="Times New Roman" w:eastAsia="黑体" w:cs="Times New Roman"/>
          <w:b/>
          <w:bCs/>
          <w:kern w:val="44"/>
          <w:sz w:val="32"/>
          <w:szCs w:val="28"/>
        </w:rPr>
        <w:t>5</w:t>
      </w:r>
      <w:r>
        <w:rPr>
          <w:rFonts w:hint="eastAsia" w:ascii="Times New Roman" w:hAnsi="Times New Roman" w:eastAsia="黑体" w:cs="Times New Roman"/>
          <w:b/>
          <w:bCs/>
          <w:kern w:val="44"/>
          <w:sz w:val="32"/>
          <w:szCs w:val="28"/>
        </w:rPr>
        <w:t>资源能源承载力</w:t>
      </w:r>
      <w:r>
        <w:rPr>
          <w:rFonts w:hint="eastAsia" w:ascii="Times New Roman" w:hAnsi="Times New Roman" w:eastAsia="黑体" w:cs="Times New Roman"/>
          <w:b/>
          <w:bCs/>
          <w:kern w:val="44"/>
          <w:sz w:val="32"/>
          <w:szCs w:val="28"/>
        </w:rPr>
        <w:fldChar w:fldCharType="end"/>
      </w:r>
      <w:r>
        <w:rPr>
          <w:rFonts w:hint="eastAsia" w:ascii="Times New Roman" w:hAnsi="Times New Roman" w:eastAsia="黑体" w:cs="Times New Roman"/>
          <w:b/>
          <w:bCs/>
          <w:kern w:val="44"/>
          <w:sz w:val="32"/>
          <w:szCs w:val="28"/>
        </w:rPr>
        <w:t>分析</w:t>
      </w:r>
      <w:bookmarkEnd w:id="5"/>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（1）土地资源承载力分析</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福建省综合立体交通网规划新增</w:t>
      </w:r>
      <w:r>
        <w:rPr>
          <w:rFonts w:ascii="Times New Roman" w:hAnsi="Times New Roman" w:eastAsia="宋体" w:cs="Times New Roman"/>
          <w:sz w:val="24"/>
        </w:rPr>
        <w:t>用地</w:t>
      </w:r>
      <w:r>
        <w:rPr>
          <w:rFonts w:hint="eastAsia" w:ascii="Times New Roman" w:hAnsi="Times New Roman" w:eastAsia="宋体" w:cs="Times New Roman"/>
          <w:sz w:val="24"/>
        </w:rPr>
        <w:t>共计</w:t>
      </w:r>
      <w:r>
        <w:rPr>
          <w:rFonts w:ascii="Times New Roman" w:hAnsi="Times New Roman" w:eastAsia="宋体" w:cs="Times New Roman"/>
          <w:sz w:val="24"/>
        </w:rPr>
        <w:t>211558.32hm</w:t>
      </w:r>
      <w:r>
        <w:rPr>
          <w:rFonts w:ascii="Times New Roman" w:hAnsi="Times New Roman" w:eastAsia="宋体" w:cs="Times New Roman"/>
          <w:sz w:val="24"/>
          <w:vertAlign w:val="superscript"/>
        </w:rPr>
        <w:t>2</w:t>
      </w:r>
      <w:r>
        <w:rPr>
          <w:rFonts w:ascii="Times New Roman" w:hAnsi="Times New Roman" w:eastAsia="宋体" w:cs="Times New Roman"/>
          <w:sz w:val="24"/>
        </w:rPr>
        <w:t>。其中，</w:t>
      </w:r>
      <w:r>
        <w:rPr>
          <w:rFonts w:hint="eastAsia" w:ascii="Times New Roman" w:hAnsi="Times New Roman" w:eastAsia="宋体" w:cs="Times New Roman"/>
          <w:sz w:val="24"/>
        </w:rPr>
        <w:t>公路用地规模最大，占比</w:t>
      </w:r>
      <w:r>
        <w:rPr>
          <w:rFonts w:ascii="Times New Roman" w:hAnsi="Times New Roman" w:eastAsia="宋体" w:cs="Times New Roman"/>
          <w:sz w:val="24"/>
        </w:rPr>
        <w:t>74.7%，其次为铁路，占比23.7%，其他4种交通运输方式占地仅占1.6%。</w:t>
      </w:r>
      <w:r>
        <w:rPr>
          <w:rFonts w:hint="eastAsia" w:ascii="Times New Roman" w:hAnsi="Times New Roman" w:eastAsia="宋体" w:cs="Times New Roman"/>
          <w:sz w:val="24"/>
        </w:rPr>
        <w:t>福建省交通设施土地需求在土地资源供给的控制范围内，不存在较大土地资源制约，但用地指标日趋紧张。</w:t>
      </w:r>
      <w:r>
        <w:rPr>
          <w:rFonts w:ascii="Times New Roman" w:hAnsi="Times New Roman" w:eastAsia="宋体" w:cs="Times New Roman"/>
          <w:sz w:val="24"/>
        </w:rPr>
        <w:t>预计未来土地供给逐步趋向紧张，可能对全省交通用地供给带来一定的压力。</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（2）水资源承载力分析</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根据《</w:t>
      </w:r>
      <w:r>
        <w:rPr>
          <w:rFonts w:ascii="Times New Roman" w:hAnsi="Times New Roman" w:eastAsia="宋体" w:cs="Times New Roman"/>
          <w:sz w:val="24"/>
        </w:rPr>
        <w:t>2018年福建省水资源公报》，2018年全省供水总量约186.90亿m</w:t>
      </w:r>
      <w:r>
        <w:rPr>
          <w:rFonts w:ascii="Times New Roman" w:hAnsi="Times New Roman" w:eastAsia="宋体" w:cs="Times New Roman"/>
          <w:sz w:val="24"/>
          <w:vertAlign w:val="superscript"/>
        </w:rPr>
        <w:t>3</w:t>
      </w:r>
      <w:r>
        <w:rPr>
          <w:rFonts w:ascii="Times New Roman" w:hAnsi="Times New Roman" w:eastAsia="宋体" w:cs="Times New Roman"/>
          <w:sz w:val="24"/>
        </w:rPr>
        <w:t>，比上年减少2.67%</w:t>
      </w:r>
      <w:r>
        <w:rPr>
          <w:rFonts w:hint="eastAsia" w:ascii="Times New Roman" w:hAnsi="Times New Roman" w:eastAsia="宋体" w:cs="Times New Roman"/>
          <w:sz w:val="24"/>
        </w:rPr>
        <w:t>，该规划实施日最大需水量约</w:t>
      </w:r>
      <w:r>
        <w:rPr>
          <w:rFonts w:ascii="Times New Roman" w:hAnsi="Times New Roman" w:eastAsia="宋体" w:cs="Times New Roman"/>
          <w:sz w:val="24"/>
        </w:rPr>
        <w:t>115.25万m</w:t>
      </w:r>
      <w:r>
        <w:rPr>
          <w:rFonts w:ascii="Times New Roman" w:hAnsi="Times New Roman" w:eastAsia="宋体" w:cs="Times New Roman"/>
          <w:sz w:val="24"/>
          <w:vertAlign w:val="superscript"/>
        </w:rPr>
        <w:t>3</w:t>
      </w:r>
      <w:r>
        <w:rPr>
          <w:rFonts w:ascii="Times New Roman" w:hAnsi="Times New Roman" w:eastAsia="宋体" w:cs="Times New Roman"/>
          <w:sz w:val="24"/>
        </w:rPr>
        <w:t>/d，占全省供水总量的比例约2.18%，可满足本次规划的需求</w:t>
      </w:r>
      <w:r>
        <w:rPr>
          <w:rFonts w:hint="eastAsia" w:ascii="Times New Roman" w:hAnsi="Times New Roman" w:eastAsia="宋体" w:cs="Times New Roman"/>
          <w:sz w:val="24"/>
        </w:rPr>
        <w:t>。因此，水资源是本次规划实施时需重点考虑的因素之一，但不会成为阻碍规划实施的限制性因素。考虑该区水资源利用存在的问题，本评价建议规划实施时将水资源问题作为重点考虑内容之一，港口生产时注意进行中水利用和采取相应节水措施，同时港口用水除可考虑进一步增大海水利用、海水淡化和污水处理回用外，要密切结合水资源条件，调整产业结构，实施节约用水、科学用水和高效用水，以实现节水型港口和节水型社会的目标。</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（3）能源承载力分析</w:t>
      </w:r>
    </w:p>
    <w:p>
      <w:pPr>
        <w:spacing w:after="120" w:line="360" w:lineRule="auto"/>
        <w:ind w:firstLine="480" w:firstLineChars="200"/>
        <w:rPr>
          <w:rFonts w:ascii="Times New Roman" w:hAnsi="Times New Roman" w:eastAsia="宋体" w:cs="Times New Roman"/>
          <w:sz w:val="24"/>
        </w:rPr>
      </w:pPr>
      <w:bookmarkStart w:id="6" w:name="_Toc78151592"/>
      <w:r>
        <w:rPr>
          <w:rFonts w:hint="eastAsia" w:ascii="Times New Roman" w:hAnsi="Times New Roman" w:eastAsia="宋体" w:cs="Times New Roman"/>
          <w:sz w:val="24"/>
        </w:rPr>
        <w:t>随着福建省城镇化水平和</w:t>
      </w:r>
      <w:r>
        <w:rPr>
          <w:rFonts w:ascii="Times New Roman" w:hAnsi="Times New Roman" w:eastAsia="宋体" w:cs="Times New Roman"/>
          <w:sz w:val="24"/>
        </w:rPr>
        <w:t>GDP的增长，能源消费生产总量和消费总量仍将增加，2035年福建交通能源消耗量达到139.25亿吨标准煤，从能源强度方面看，能源消耗量从2019年的74.80亿吨上升到2035年的139.25亿吨，上升了86.16%。预计随着技术的进步交通能源消耗量可能将进一步提升，未来福建省经济发展能够支撑交通能源的使用。</w:t>
      </w:r>
    </w:p>
    <w:bookmarkEnd w:id="6"/>
    <w:p>
      <w:pPr>
        <w:keepNext/>
        <w:keepLines/>
        <w:spacing w:after="120"/>
        <w:outlineLvl w:val="0"/>
        <w:rPr>
          <w:rFonts w:ascii="Times New Roman" w:hAnsi="Times New Roman" w:eastAsia="黑体" w:cs="Times New Roman"/>
          <w:bCs/>
          <w:kern w:val="44"/>
          <w:sz w:val="32"/>
          <w:szCs w:val="44"/>
        </w:rPr>
      </w:pPr>
      <w:bookmarkStart w:id="7" w:name="_Toc78151600"/>
      <w:r>
        <w:rPr>
          <w:rFonts w:ascii="Times New Roman" w:hAnsi="Times New Roman" w:eastAsia="黑体" w:cs="Times New Roman"/>
          <w:bCs/>
          <w:sz w:val="28"/>
          <w:szCs w:val="32"/>
        </w:rPr>
        <w:t>6</w:t>
      </w:r>
      <w:r>
        <w:rPr>
          <w:rFonts w:hint="eastAsia" w:ascii="Times New Roman" w:hAnsi="Times New Roman" w:eastAsia="黑体" w:cs="Times New Roman"/>
          <w:bCs/>
          <w:kern w:val="44"/>
          <w:sz w:val="32"/>
          <w:szCs w:val="44"/>
        </w:rPr>
        <w:t>优化调整实施建议</w:t>
      </w:r>
      <w:bookmarkEnd w:id="7"/>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针对可能</w:t>
      </w:r>
      <w:r>
        <w:rPr>
          <w:rFonts w:hint="eastAsia" w:ascii="Times New Roman" w:hAnsi="Times New Roman" w:eastAsia="宋体" w:cs="Times New Roman"/>
          <w:sz w:val="24"/>
          <w:lang w:eastAsia="zh-CN"/>
        </w:rPr>
        <w:t>可能涉及</w:t>
      </w:r>
      <w:r>
        <w:rPr>
          <w:rFonts w:hint="eastAsia" w:ascii="Times New Roman" w:hAnsi="Times New Roman" w:eastAsia="宋体" w:cs="Times New Roman"/>
          <w:sz w:val="24"/>
        </w:rPr>
        <w:t>自然保护区核心区、缓冲区和饮用水水源保护区的路段（或管道）提出如下优化建议：</w:t>
      </w:r>
    </w:p>
    <w:p>
      <w:pPr>
        <w:spacing w:after="12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1.优化线位布局，规划布局进行一定摆动，尽量完全避让自然保护区核心区和缓冲区。</w:t>
      </w:r>
    </w:p>
    <w:p>
      <w:pPr>
        <w:spacing w:after="12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2.优化线路布局，建议以一跨而过的桥梁或隧道方式“无害化”通过自然保护区实验区等生态环境敏感目标，施工和运营过程中强化环境风险防范和应急措施。</w:t>
      </w:r>
    </w:p>
    <w:p>
      <w:pPr>
        <w:spacing w:after="12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3.实在无法避绕的，以全隧道、高架桥梁等方式穿越自然保护区。管道应在建设前开展风险安全论证且相关部门审批同意后实施。</w:t>
      </w:r>
    </w:p>
    <w:p>
      <w:pPr>
        <w:spacing w:after="12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4.规划项目实施后，对定期对项目进行回顾性评价，以确定工程建设技术和环保措施能否支撑。</w:t>
      </w:r>
    </w:p>
    <w:p>
      <w:pPr>
        <w:keepNext/>
        <w:keepLines/>
        <w:spacing w:after="120"/>
        <w:outlineLvl w:val="0"/>
        <w:rPr>
          <w:rFonts w:ascii="Times New Roman" w:hAnsi="Times New Roman" w:eastAsia="黑体" w:cs="Times New Roman"/>
          <w:bCs/>
          <w:kern w:val="44"/>
          <w:sz w:val="32"/>
          <w:szCs w:val="44"/>
        </w:rPr>
      </w:pPr>
      <w:bookmarkStart w:id="8" w:name="_Toc78151605"/>
      <w:r>
        <w:rPr>
          <w:rFonts w:ascii="Times New Roman" w:hAnsi="Times New Roman" w:eastAsia="黑体" w:cs="Times New Roman"/>
          <w:bCs/>
          <w:kern w:val="44"/>
          <w:sz w:val="32"/>
          <w:szCs w:val="44"/>
        </w:rPr>
        <w:t>7</w:t>
      </w:r>
      <w:r>
        <w:rPr>
          <w:rFonts w:hint="eastAsia" w:ascii="Times New Roman" w:hAnsi="Times New Roman" w:eastAsia="黑体" w:cs="Times New Roman"/>
          <w:bCs/>
          <w:kern w:val="44"/>
          <w:sz w:val="32"/>
          <w:szCs w:val="44"/>
        </w:rPr>
        <w:t>环境影响减缓对策和措施</w:t>
      </w:r>
      <w:bookmarkEnd w:id="8"/>
    </w:p>
    <w:p>
      <w:pPr>
        <w:spacing w:after="12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（1）</w:t>
      </w:r>
      <w:r>
        <w:rPr>
          <w:rFonts w:hint="eastAsia" w:ascii="Times New Roman" w:hAnsi="Times New Roman" w:eastAsia="宋体" w:cs="Times New Roman"/>
          <w:sz w:val="24"/>
        </w:rPr>
        <w:t>强化空间管控，保护生态空间</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w:t>
      </w:r>
      <w:r>
        <w:rPr>
          <w:rFonts w:ascii="Times New Roman" w:hAnsi="Times New Roman" w:eastAsia="宋体" w:cs="Times New Roman"/>
          <w:sz w:val="24"/>
        </w:rPr>
        <w:t>.</w:t>
      </w:r>
      <w:r>
        <w:rPr>
          <w:rFonts w:hint="eastAsia"/>
        </w:rPr>
        <w:t xml:space="preserve"> </w:t>
      </w:r>
      <w:r>
        <w:rPr>
          <w:rFonts w:hint="eastAsia" w:ascii="Times New Roman" w:hAnsi="Times New Roman" w:eastAsia="宋体" w:cs="Times New Roman"/>
          <w:sz w:val="24"/>
        </w:rPr>
        <w:t>规划实施时应重点避让自然保护区、国家公园、风景名胜区、世界遗产地、森林公园、海洋保护区、地质公园和生物多样性保护及水源涵养重要生态敏感目标等</w:t>
      </w:r>
      <w:r>
        <w:rPr>
          <w:rFonts w:ascii="Times New Roman" w:hAnsi="Times New Roman" w:eastAsia="宋体" w:cs="Times New Roman"/>
          <w:sz w:val="24"/>
        </w:rPr>
        <w:t>。</w:t>
      </w:r>
      <w:r>
        <w:rPr>
          <w:rFonts w:hint="eastAsia" w:ascii="Times New Roman" w:hAnsi="Times New Roman" w:eastAsia="宋体" w:cs="Times New Roman"/>
          <w:sz w:val="24"/>
        </w:rPr>
        <w:t>对于重要生态功能区域等，规划实施时应尽量减少对其主导生态功能和重要保护对象的影响，促进生态功能的维持与恢复。重要物种生境保护。对于福建省综合立体交通网规划的新增项目，应当考虑物种栖息地实际情况适当绕行。对于无法避免的位置应最大限度的缩短建设周期，从而减少施工噪声对野生动物的影响。</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w:t>
      </w:r>
      <w:r>
        <w:rPr>
          <w:rFonts w:ascii="Times New Roman" w:hAnsi="Times New Roman" w:eastAsia="宋体" w:cs="Times New Roman"/>
          <w:sz w:val="24"/>
        </w:rPr>
        <w:t>.</w:t>
      </w:r>
      <w:r>
        <w:rPr>
          <w:rFonts w:hint="eastAsia" w:ascii="Times New Roman" w:hAnsi="Times New Roman" w:eastAsia="宋体" w:cs="Times New Roman"/>
          <w:sz w:val="24"/>
        </w:rPr>
        <w:t>基础设施生态避让。各级规划交通基础设施建设和运营均应遵循所属地市及各类保护区的生态环境保护要求，禁止规划路段占用自然保护区核心区和缓冲区、国家公园严格保护区、风景名胜区的一级保护区、世界遗产的核心区、重要饮用水水源地的一级保护区。对自然保护区的实验区、国家公园生态保育区、风景名胜区的一般保护区、世界遗产的一般保护区、重要饮用水水源地的二级保护区、森林公园、地质公园、水产种质资源保护区、重要湿地、海洋保护区、海洋保留区、海洋休闲娱乐区等，基础设施建设应当予以避让，实在无法绕避时，应开展专题研究并向相关部门报批。</w:t>
      </w:r>
    </w:p>
    <w:p>
      <w:pPr>
        <w:spacing w:after="12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（2）</w:t>
      </w:r>
      <w:r>
        <w:rPr>
          <w:rFonts w:hint="eastAsia" w:ascii="Times New Roman" w:hAnsi="Times New Roman" w:eastAsia="宋体" w:cs="Times New Roman"/>
          <w:sz w:val="24"/>
        </w:rPr>
        <w:t>严格污染防治，强化总量管控制</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w:t>
      </w:r>
      <w:r>
        <w:rPr>
          <w:rFonts w:ascii="Times New Roman" w:hAnsi="Times New Roman" w:eastAsia="宋体" w:cs="Times New Roman"/>
          <w:sz w:val="24"/>
        </w:rPr>
        <w:t>.</w:t>
      </w:r>
      <w:r>
        <w:rPr>
          <w:rFonts w:hint="eastAsia"/>
        </w:rPr>
        <w:t xml:space="preserve"> </w:t>
      </w:r>
      <w:r>
        <w:rPr>
          <w:rFonts w:hint="eastAsia" w:ascii="Times New Roman" w:hAnsi="Times New Roman" w:eastAsia="宋体" w:cs="Times New Roman"/>
          <w:sz w:val="24"/>
        </w:rPr>
        <w:t>大气污染防治。根据各类交通运输方式的污染物排放强度测算结果，福建省综合立体交通网地区的大气污染控制工作应以公路运输、水路、综合交通枢纽、民航运输为重点控制对象，在空间上以福州都市区和厦漳泉都市区为重点控制区域，全面开展大气污染防治工作。</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w:t>
      </w:r>
      <w:r>
        <w:rPr>
          <w:rFonts w:ascii="Times New Roman" w:hAnsi="Times New Roman" w:eastAsia="宋体" w:cs="Times New Roman"/>
          <w:sz w:val="24"/>
        </w:rPr>
        <w:t xml:space="preserve">. </w:t>
      </w:r>
      <w:r>
        <w:rPr>
          <w:rFonts w:hint="eastAsia" w:ascii="Times New Roman" w:hAnsi="Times New Roman" w:eastAsia="宋体" w:cs="Times New Roman"/>
          <w:sz w:val="24"/>
        </w:rPr>
        <w:t>水污染防治。根据各类交通运输方式的污染物排放强度测算结果，福建省综合立体交通网实施中水污染控制工作应以公路运输、水路运输、综合交通枢纽为重点控制对象，在空间上以内河水域为重点控制区域，全面开展水污染防治工作。</w:t>
      </w:r>
    </w:p>
    <w:p>
      <w:pPr>
        <w:spacing w:after="12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（3）</w:t>
      </w:r>
      <w:r>
        <w:rPr>
          <w:rFonts w:hint="eastAsia" w:ascii="Times New Roman" w:hAnsi="Times New Roman" w:eastAsia="宋体" w:cs="Times New Roman"/>
          <w:sz w:val="24"/>
        </w:rPr>
        <w:t>加强风险防范，注重资源节约集约</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w:t>
      </w:r>
      <w:r>
        <w:rPr>
          <w:rFonts w:ascii="Times New Roman" w:hAnsi="Times New Roman" w:eastAsia="宋体" w:cs="Times New Roman"/>
          <w:sz w:val="24"/>
        </w:rPr>
        <w:t>.</w:t>
      </w:r>
      <w:r>
        <w:rPr>
          <w:rFonts w:hint="eastAsia"/>
        </w:rPr>
        <w:t xml:space="preserve"> </w:t>
      </w:r>
      <w:r>
        <w:rPr>
          <w:rFonts w:hint="eastAsia" w:ascii="Times New Roman" w:hAnsi="Times New Roman" w:eastAsia="宋体" w:cs="Times New Roman"/>
          <w:sz w:val="24"/>
        </w:rPr>
        <w:t>加强环境风险防控</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铁路、公路：在敏感路段设置径流收集处理系统和应急池，避免事故水泄漏进入敏感水体；在事故高发处设置监控摄像头，随时监控车辆运行状况，提前预估事故发生；在水源地路段设置水源地警示标志，对运输车辆起到警示用</w:t>
      </w:r>
      <w:r>
        <w:rPr>
          <w:rFonts w:ascii="Times New Roman" w:hAnsi="Times New Roman" w:eastAsia="宋体" w:cs="Times New Roman"/>
          <w:sz w:val="24"/>
        </w:rPr>
        <w:t xml:space="preserve">; </w:t>
      </w:r>
      <w:bookmarkStart w:id="11" w:name="_GoBack"/>
      <w:bookmarkEnd w:id="11"/>
      <w:r>
        <w:rPr>
          <w:rFonts w:hint="eastAsia" w:ascii="Times New Roman" w:hAnsi="Times New Roman" w:eastAsia="宋体" w:cs="Times New Roman"/>
          <w:sz w:val="24"/>
          <w:lang w:eastAsia="zh-CN"/>
        </w:rPr>
        <w:t>在途经</w:t>
      </w:r>
      <w:r>
        <w:rPr>
          <w:rFonts w:ascii="Times New Roman" w:hAnsi="Times New Roman" w:eastAsia="宋体" w:cs="Times New Roman"/>
          <w:sz w:val="24"/>
        </w:rPr>
        <w:t>小学和卫生院处设置警示和减速标志，提醒运输车辆谨慎行驶; 在公路上下坡或隧道、桥梁处设置减速标志和减速带，提醒运输车辆减速行驶；公路沿线尤其是经过基本农田区设置排水边沟，防止事故液体直接进入农田区；建立高速环境风险管理制度，制定高速突发环境事故应急预案；建立环境风险设备设施日常维护保养制度，加强巡查和</w:t>
      </w:r>
      <w:r>
        <w:rPr>
          <w:rFonts w:hint="eastAsia" w:ascii="Times New Roman" w:hAnsi="Times New Roman" w:eastAsia="宋体" w:cs="Times New Roman"/>
          <w:sz w:val="24"/>
        </w:rPr>
        <w:t>防护，并及时修补应急工程技术措施；定期与当地的企事业单位开展应急救援演练，并建立联系制度；建立应急物质调配联系册。</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水运：建立健全船舶交通管制系统（</w:t>
      </w:r>
      <w:r>
        <w:rPr>
          <w:rFonts w:ascii="Times New Roman" w:hAnsi="Times New Roman" w:eastAsia="宋体" w:cs="Times New Roman"/>
          <w:sz w:val="24"/>
        </w:rPr>
        <w:t>VTS），辅助采用船舶报告制及船舶自动识别系统，连续实时地掌握船舶的船位和状态，及时发现问题、预先采取措施以减少事故隐患，为船舶的航行安全提供支持保障，有效防范船舶交通事故引起的溢油污染事故；在码头装卸事故的防范措施中，首先在工艺及设计的合理性上把好第一关，继而要严格遵守行业操作规范，全面提高操作人员的职业素质。第二要加强码头作业管理，港口应配备计算机管理信息系统，对进出港货物种类、数量、位置、事故应急措施等基础资料进行存储，同时确保码头及船舶各种装置设备保持良好的运行状态，</w:t>
      </w:r>
      <w:r>
        <w:rPr>
          <w:rFonts w:hint="eastAsia" w:ascii="Times New Roman" w:hAnsi="Times New Roman" w:eastAsia="宋体" w:cs="Times New Roman"/>
          <w:sz w:val="24"/>
        </w:rPr>
        <w:t>加强设备的保养和定期维修，以防意外事故的发生；油码头运营中的安全操作与管理对于防范突发性污染事故将起着至关重要的作用。因此，生产管理部门应将安全生产与环境保护摆在首要位置，加强对储运业务的科学管理，建立严格的、可实施的安全生产规章制度及操作规程，加强职工的技术培训、专业培训、安全与工业卫生知识的教育，坚持持证上岗，在油船装卸油作业与油品储存的过程中应注意以下安全管理措施，借以杜绝人为因素造成的污染事故。</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航空：机场油库区与周围居住区、交通线的安全距离应符合《石油库设计规范》（</w:t>
      </w:r>
      <w:r>
        <w:rPr>
          <w:rFonts w:ascii="Times New Roman" w:hAnsi="Times New Roman" w:eastAsia="宋体" w:cs="Times New Roman"/>
          <w:sz w:val="24"/>
        </w:rPr>
        <w:t>GB50074-2002）要求，建设应符合地方城镇规划、环境保护规划和防火安全要求，抗震设防烈度为8级，无地质断层和塌陷区，最低设计标高高于50年一遇 的洪水位0.5m以上。</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管道：加强危险识别、地形勘探技术在技术上加强危险识别和地形勘探，从而减少一些不必要的安全风险的发生；提高管道铺设的质量，在施工时应当提高管道质量，降低安全风险在施工过程中发生的概率；加强应急管理措施与演练；建立健全检查管理机制，在安全事故或事件发生后应当进行有效的处理和善后，检查处理的情况以及处理后的效果并从中吸取经验教训，对事前、事中、事后进行全过程的实时检查管理，确保每一个环节都在安全、有序、稳定的环境中运行，减少安全风险事故的发生。</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w:t>
      </w:r>
      <w:r>
        <w:rPr>
          <w:rFonts w:ascii="Times New Roman" w:hAnsi="Times New Roman" w:eastAsia="宋体" w:cs="Times New Roman"/>
          <w:sz w:val="24"/>
        </w:rPr>
        <w:t>.</w:t>
      </w:r>
      <w:r>
        <w:rPr>
          <w:rFonts w:hint="eastAsia"/>
        </w:rPr>
        <w:t xml:space="preserve"> </w:t>
      </w:r>
      <w:r>
        <w:rPr>
          <w:rFonts w:hint="eastAsia" w:ascii="Times New Roman" w:hAnsi="Times New Roman" w:eastAsia="宋体" w:cs="Times New Roman"/>
          <w:sz w:val="24"/>
        </w:rPr>
        <w:t>推进资源能源节约高效利用</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推进水土资源节约集约利用。依据强制手段与效益引导相结合的原则，工程与非工程措施相结合，努力提高公路水路交通基础设施建设用地用水效率。提升资源综合循环利用水平。按照减量化、再利用和资源化的原则，大力提升路面材料、废旧沥青、水泥混凝土、废旧轮胎等废旧资源的循环利用水平。促进岸线资源高效利用。统筹港口岸线与其他岸线利用需求，合理确定港口岸线开发规模与开发强度。</w:t>
      </w:r>
    </w:p>
    <w:p>
      <w:pPr>
        <w:spacing w:after="120" w:line="360" w:lineRule="auto"/>
        <w:ind w:firstLine="480" w:firstLineChars="200"/>
        <w:rPr>
          <w:rFonts w:ascii="Times New Roman" w:hAnsi="Times New Roman" w:eastAsia="宋体" w:cs="Times New Roman"/>
          <w:sz w:val="24"/>
        </w:rPr>
      </w:pPr>
      <w:r>
        <w:rPr>
          <w:rFonts w:ascii="Times New Roman" w:hAnsi="Times New Roman" w:eastAsia="宋体" w:cs="Times New Roman"/>
          <w:sz w:val="24"/>
        </w:rPr>
        <w:t>（4）</w:t>
      </w:r>
      <w:r>
        <w:rPr>
          <w:rFonts w:hint="eastAsia" w:ascii="Times New Roman" w:hAnsi="Times New Roman" w:eastAsia="宋体" w:cs="Times New Roman"/>
          <w:sz w:val="24"/>
        </w:rPr>
        <w:t>优化行业结构，提升监督管理水平</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1</w:t>
      </w:r>
      <w:r>
        <w:rPr>
          <w:rFonts w:ascii="Times New Roman" w:hAnsi="Times New Roman" w:eastAsia="宋体" w:cs="Times New Roman"/>
          <w:sz w:val="24"/>
        </w:rPr>
        <w:t>.推进交通运输结构调整</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优化整合交通运输资源，发挥各种运输方式技术经济优势，推进交通网络结构调整和优化。</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2</w:t>
      </w:r>
      <w:r>
        <w:rPr>
          <w:rFonts w:ascii="Times New Roman" w:hAnsi="Times New Roman" w:eastAsia="宋体" w:cs="Times New Roman"/>
          <w:sz w:val="24"/>
        </w:rPr>
        <w:t>.</w:t>
      </w:r>
      <w:r>
        <w:rPr>
          <w:rFonts w:hint="eastAsia"/>
        </w:rPr>
        <w:t xml:space="preserve"> </w:t>
      </w:r>
      <w:r>
        <w:rPr>
          <w:rFonts w:hint="eastAsia" w:ascii="Times New Roman" w:hAnsi="Times New Roman" w:eastAsia="宋体" w:cs="Times New Roman"/>
          <w:sz w:val="24"/>
        </w:rPr>
        <w:t>优化交通运输组织方式</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持续优化客货运输管理模式，有力推进公交都市和慢行交通建设，不断优化交通运输组织方式。</w:t>
      </w:r>
    </w:p>
    <w:p>
      <w:pPr>
        <w:adjustRightInd w:val="0"/>
        <w:outlineLvl w:val="0"/>
        <w:rPr>
          <w:rFonts w:ascii="Times New Roman" w:hAnsi="Times New Roman" w:eastAsia="宋体" w:cs="Times New Roman"/>
          <w:b/>
          <w:sz w:val="32"/>
          <w:szCs w:val="28"/>
        </w:rPr>
      </w:pPr>
      <w:r>
        <w:fldChar w:fldCharType="begin"/>
      </w:r>
      <w:r>
        <w:instrText xml:space="preserve"> HYPERLINK "file:///E:\\2013临时工作\\自然基金\\国家公路网环评-汇总12.23.docx" \l "_Toc342893362" </w:instrText>
      </w:r>
      <w:r>
        <w:fldChar w:fldCharType="separate"/>
      </w:r>
      <w:bookmarkStart w:id="9" w:name="_Toc78151609"/>
      <w:r>
        <w:rPr>
          <w:rFonts w:ascii="Times New Roman" w:hAnsi="Times New Roman" w:eastAsia="宋体" w:cs="Times New Roman"/>
          <w:b/>
          <w:sz w:val="32"/>
          <w:szCs w:val="28"/>
        </w:rPr>
        <w:t>8</w:t>
      </w:r>
      <w:r>
        <w:rPr>
          <w:rFonts w:hint="eastAsia" w:ascii="Times New Roman" w:hAnsi="Times New Roman" w:eastAsia="宋体" w:cs="Times New Roman"/>
          <w:b/>
          <w:sz w:val="32"/>
          <w:szCs w:val="28"/>
        </w:rPr>
        <w:t>公众参与</w:t>
      </w:r>
      <w:bookmarkEnd w:id="9"/>
      <w:r>
        <w:rPr>
          <w:rFonts w:hint="eastAsia" w:ascii="Times New Roman" w:hAnsi="Times New Roman" w:eastAsia="宋体" w:cs="Times New Roman"/>
          <w:b/>
          <w:sz w:val="32"/>
          <w:szCs w:val="28"/>
        </w:rPr>
        <w:fldChar w:fldCharType="end"/>
      </w:r>
    </w:p>
    <w:p>
      <w:pPr>
        <w:spacing w:after="156" w:afterLines="50" w:line="360" w:lineRule="auto"/>
        <w:ind w:firstLine="480" w:firstLineChars="200"/>
        <w:rPr>
          <w:rFonts w:ascii="Calibri" w:hAnsi="Calibri" w:eastAsia="宋体" w:cs="Times New Roman"/>
          <w:sz w:val="24"/>
        </w:rPr>
      </w:pPr>
      <w:r>
        <w:rPr>
          <w:rFonts w:hint="eastAsia" w:ascii="Calibri" w:hAnsi="Calibri" w:eastAsia="宋体" w:cs="Times New Roman"/>
          <w:sz w:val="24"/>
        </w:rPr>
        <w:t>针对福建省综合立体交通网规划</w:t>
      </w:r>
      <w:r>
        <w:rPr>
          <w:rFonts w:hint="eastAsia" w:ascii="Calibri" w:hAnsi="Calibri" w:eastAsia="宋体" w:cs="Times New Roman"/>
          <w:sz w:val="24"/>
          <w:lang w:eastAsia="zh-CN"/>
        </w:rPr>
        <w:t>纲要</w:t>
      </w:r>
      <w:r>
        <w:rPr>
          <w:rFonts w:hint="eastAsia" w:ascii="Calibri" w:hAnsi="Calibri" w:eastAsia="宋体" w:cs="Times New Roman"/>
          <w:sz w:val="24"/>
        </w:rPr>
        <w:t>可能带来的环境影响，本次评价通过网上公示、部门意见征询、专家咨询的形式开展公众参与，广泛收集了各类资料，从不同层次和角度听取社会各方对于福建省综合立体交通网规划</w:t>
      </w:r>
      <w:r>
        <w:rPr>
          <w:rFonts w:hint="eastAsia" w:ascii="Calibri" w:hAnsi="Calibri" w:eastAsia="宋体" w:cs="Times New Roman"/>
          <w:sz w:val="24"/>
          <w:lang w:eastAsia="zh-CN"/>
        </w:rPr>
        <w:t>纲要</w:t>
      </w:r>
      <w:r>
        <w:rPr>
          <w:rFonts w:hint="eastAsia" w:ascii="Calibri" w:hAnsi="Calibri" w:eastAsia="宋体" w:cs="Times New Roman"/>
          <w:sz w:val="24"/>
        </w:rPr>
        <w:t>环境影响的见解</w:t>
      </w:r>
      <w:r>
        <w:rPr>
          <w:rFonts w:ascii="Calibri" w:hAnsi="Calibri" w:eastAsia="宋体" w:cs="Times New Roman"/>
          <w:sz w:val="24"/>
        </w:rPr>
        <w:t>。</w:t>
      </w:r>
    </w:p>
    <w:p>
      <w:pPr>
        <w:spacing w:after="156" w:afterLines="50" w:line="360" w:lineRule="auto"/>
        <w:ind w:firstLine="480" w:firstLineChars="200"/>
        <w:rPr>
          <w:rFonts w:ascii="Calibri" w:hAnsi="Calibri" w:eastAsia="宋体" w:cs="Times New Roman"/>
          <w:sz w:val="24"/>
        </w:rPr>
      </w:pPr>
      <w:r>
        <w:rPr>
          <w:rFonts w:hint="eastAsia" w:ascii="Calibri" w:hAnsi="Calibri" w:eastAsia="宋体" w:cs="Times New Roman"/>
          <w:sz w:val="24"/>
        </w:rPr>
        <w:t>通过公众参与工作的开展，项目组不仅听取了不同领域的专家、学者和公众对于福建省综合立体交通网规划</w:t>
      </w:r>
      <w:r>
        <w:rPr>
          <w:rFonts w:hint="eastAsia" w:ascii="Calibri" w:hAnsi="Calibri" w:eastAsia="宋体" w:cs="Times New Roman"/>
          <w:sz w:val="24"/>
          <w:lang w:eastAsia="zh-CN"/>
        </w:rPr>
        <w:t>纲要</w:t>
      </w:r>
      <w:r>
        <w:rPr>
          <w:rFonts w:hint="eastAsia" w:ascii="Calibri" w:hAnsi="Calibri" w:eastAsia="宋体" w:cs="Times New Roman"/>
          <w:sz w:val="24"/>
        </w:rPr>
        <w:t>可能造成环境影响的深刻见解，深入了解了有关部门的相关政策、规划和管理规定，也了解了各社会公众对福建省综合立体交通网建设的要求，这对于进一步调整和完善福建省综合立体交通网规划具有十分重要的意义。</w:t>
      </w:r>
    </w:p>
    <w:p>
      <w:pPr>
        <w:spacing w:after="156" w:afterLines="50" w:line="360" w:lineRule="auto"/>
        <w:ind w:firstLine="480" w:firstLineChars="200"/>
        <w:rPr>
          <w:rFonts w:ascii="Calibri" w:hAnsi="Calibri" w:eastAsia="宋体" w:cs="Times New Roman"/>
          <w:sz w:val="24"/>
        </w:rPr>
      </w:pPr>
      <w:r>
        <w:rPr>
          <w:rFonts w:hint="eastAsia" w:ascii="Calibri" w:hAnsi="Calibri" w:eastAsia="宋体" w:cs="Times New Roman"/>
          <w:sz w:val="24"/>
        </w:rPr>
        <w:t>公众参与调查结果表明：大部分政府管理部门和公众对</w:t>
      </w:r>
      <w:r>
        <w:rPr>
          <w:rFonts w:hint="eastAsia" w:ascii="Calibri" w:hAnsi="Calibri" w:eastAsia="宋体" w:cs="Times New Roman"/>
          <w:sz w:val="24"/>
          <w:lang w:eastAsia="zh-CN"/>
        </w:rPr>
        <w:t>《</w:t>
      </w:r>
      <w:r>
        <w:rPr>
          <w:rFonts w:hint="eastAsia" w:ascii="Calibri" w:hAnsi="Calibri" w:eastAsia="宋体" w:cs="Times New Roman"/>
          <w:sz w:val="24"/>
        </w:rPr>
        <w:t>福建省综合立体交通网规划</w:t>
      </w:r>
      <w:r>
        <w:rPr>
          <w:rFonts w:hint="eastAsia" w:ascii="Calibri" w:hAnsi="Calibri" w:eastAsia="宋体" w:cs="Times New Roman"/>
          <w:sz w:val="24"/>
          <w:lang w:eastAsia="zh-CN"/>
        </w:rPr>
        <w:t>纲要》</w:t>
      </w:r>
      <w:r>
        <w:rPr>
          <w:rFonts w:hint="eastAsia" w:ascii="Calibri" w:hAnsi="Calibri" w:eastAsia="宋体" w:cs="Times New Roman"/>
          <w:sz w:val="24"/>
        </w:rPr>
        <w:t>都非常支持，认为规划实施可在较大程度上推动地方经济发展；省生态环境厅和自然资源厅对规划可能产生生态影响较为关注，提出了具体意见；相关专家和管理人员普遍关注规划布局合理性，以及与相关规划和产业布局的协调性；公众最关注的环保问题是规划实施后带来的大气污染问题和生态破坏问题。</w:t>
      </w:r>
    </w:p>
    <w:p>
      <w:pPr>
        <w:keepNext/>
        <w:keepLines/>
        <w:spacing w:after="120"/>
        <w:outlineLvl w:val="0"/>
        <w:rPr>
          <w:rFonts w:ascii="Times New Roman" w:hAnsi="Times New Roman" w:eastAsia="黑体" w:cs="Times New Roman"/>
          <w:bCs/>
          <w:kern w:val="44"/>
          <w:sz w:val="32"/>
          <w:szCs w:val="44"/>
        </w:rPr>
      </w:pPr>
      <w:r>
        <w:fldChar w:fldCharType="begin"/>
      </w:r>
      <w:r>
        <w:instrText xml:space="preserve"> HYPERLINK "file:///E:\\2013临时工作\\自然基金\\国家公路网环评-汇总12.23.docx" \l "_Toc342893368" </w:instrText>
      </w:r>
      <w:r>
        <w:fldChar w:fldCharType="separate"/>
      </w:r>
      <w:bookmarkStart w:id="10" w:name="_Toc78151617"/>
      <w:r>
        <w:rPr>
          <w:rFonts w:ascii="Times New Roman" w:hAnsi="Times New Roman" w:eastAsia="黑体" w:cs="Times New Roman"/>
          <w:bCs/>
          <w:kern w:val="44"/>
          <w:sz w:val="32"/>
          <w:szCs w:val="44"/>
        </w:rPr>
        <w:t>9</w:t>
      </w:r>
      <w:r>
        <w:rPr>
          <w:rFonts w:hint="eastAsia" w:ascii="Times New Roman" w:hAnsi="Times New Roman" w:eastAsia="黑体" w:cs="Times New Roman"/>
          <w:bCs/>
          <w:kern w:val="44"/>
          <w:sz w:val="32"/>
          <w:szCs w:val="44"/>
        </w:rPr>
        <w:t>评价结论</w:t>
      </w:r>
      <w:r>
        <w:rPr>
          <w:rFonts w:hint="eastAsia" w:ascii="Times New Roman" w:hAnsi="Times New Roman" w:eastAsia="黑体" w:cs="Times New Roman"/>
          <w:bCs/>
          <w:kern w:val="44"/>
          <w:sz w:val="32"/>
          <w:szCs w:val="44"/>
        </w:rPr>
        <w:fldChar w:fldCharType="end"/>
      </w:r>
      <w:bookmarkEnd w:id="10"/>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规划贯彻了创新、协调、绿色、开放、共享发展理念，进一步优化了福建省综合立体交通网布局，加强公路、铁路、民航、管道、水运多式联运，大幅提高了综合交通运输效率和资源利用效率。规划与《交通强国建设纲要》《国家综合立体交通网规划纲要》《国家公路网规划（</w:t>
      </w:r>
      <w:r>
        <w:rPr>
          <w:rFonts w:ascii="Times New Roman" w:hAnsi="Times New Roman" w:eastAsia="宋体" w:cs="Times New Roman"/>
          <w:sz w:val="24"/>
        </w:rPr>
        <w:t>2013-2030年）》《中长期铁路网规划》《福建省沿海港口布局规划》等有效衔接，符合国家生态文明建设和交通强国发展战略的具体要求，对于推动福建省交通行业减污降碳协同增效，实现高质量可持续发展具有积极的促进作用。</w:t>
      </w:r>
    </w:p>
    <w:p>
      <w:pPr>
        <w:spacing w:after="12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规划实施可能会对部分区域生态环境产生一定的不利影响，主要体现在资源占用、生态影响和污染排放等方面。一是规划实施需要消耗一定的土地、通道资源，消耗能源并产生碳排放；二是可能对局部陆生和水生生态产生一定影响，特别是与部分自然保护区、国家公园、饮用水源地、基本农田等环境敏感目标，以及生态保护红线存在空间冲突；三是产生的废气、污水、噪声等污染物，特别是汽车产生的大气污染和危化品车辆泄漏风险和管道泄漏爆炸风险，如未得到妥善处理，可能对环境和人群健康安全带来一定损害。</w:t>
      </w:r>
    </w:p>
    <w:p>
      <w:pPr>
        <w:spacing w:after="120" w:line="360" w:lineRule="auto"/>
        <w:ind w:firstLine="480" w:firstLineChars="200"/>
        <w:rPr>
          <w:rFonts w:hint="eastAsia" w:ascii="Times New Roman" w:hAnsi="Times New Roman" w:eastAsia="宋体" w:cs="Times New Roman"/>
          <w:sz w:val="24"/>
        </w:rPr>
      </w:pPr>
      <w:r>
        <w:rPr>
          <w:rFonts w:hint="eastAsia" w:ascii="Times New Roman" w:hAnsi="Times New Roman" w:eastAsia="宋体" w:cs="Times New Roman"/>
          <w:sz w:val="24"/>
        </w:rPr>
        <w:t>经综合论证，规划的规模、布局、结构、时序等环境合理性较充分，资源能源消耗、生态影响和环境影响总体符合“生态保护红线、资源利用上线、环境质量底线、环境准入清单”的基本要求，重点项目安排合理。通过严格实施规划和建设项目环境影响评价制度，充分衔接国土空间规划和“三线一单”生态环境分区管控要求，优化选位避让自然保护区等环境敏感目标，加强交通基础设施节能环保和风险防控能力，规划实施产生的不利环境影响总体可控。在严格落实本评价提出各项环境保护措施，集约利用资源，最大限度避让环境敏感区，严格控制环境污染，鼓励新建交通基础设施按照绿色交通技术规范设计施工的前提下，从资源环境角度，《福建省综合立体交通网规划</w:t>
      </w:r>
      <w:r>
        <w:rPr>
          <w:rFonts w:hint="eastAsia" w:ascii="Calibri" w:hAnsi="Calibri" w:eastAsia="宋体" w:cs="Times New Roman"/>
          <w:sz w:val="24"/>
          <w:lang w:eastAsia="zh-CN"/>
        </w:rPr>
        <w:t>纲要</w:t>
      </w:r>
      <w:r>
        <w:rPr>
          <w:rFonts w:hint="eastAsia" w:ascii="Times New Roman" w:hAnsi="Times New Roman" w:eastAsia="宋体" w:cs="Times New Roman"/>
          <w:sz w:val="24"/>
        </w:rPr>
        <w:t>》是总体可行的。</w:t>
      </w:r>
    </w:p>
    <w:p>
      <w:pPr>
        <w:rPr>
          <w:rFonts w:hint="eastAsia" w:ascii="Times New Roman" w:hAnsi="Times New Roman" w:eastAsia="宋体" w:cs="Times New Roman"/>
          <w:sz w:val="24"/>
        </w:rPr>
      </w:pPr>
      <w:r>
        <w:rPr>
          <w:rFonts w:hint="eastAsia" w:ascii="Times New Roman" w:hAnsi="Times New Roman" w:eastAsia="宋体" w:cs="Times New Roman"/>
          <w:sz w:val="24"/>
        </w:rPr>
        <w:br w:type="page"/>
      </w:r>
    </w:p>
    <w:p>
      <w:pPr>
        <w:pStyle w:val="2"/>
        <w:rPr>
          <w:rFonts w:hint="eastAsia"/>
        </w:rPr>
      </w:pPr>
    </w:p>
    <w:p>
      <w:pPr>
        <w:pStyle w:val="2"/>
        <w:ind w:left="0" w:leftChars="0" w:firstLine="0" w:firstLineChars="0"/>
        <w:rPr>
          <w:rFonts w:hint="eastAsia" w:ascii="黑体" w:hAnsi="黑体" w:eastAsia="黑体" w:cs="黑体"/>
          <w:b/>
          <w:bCs/>
          <w:lang w:eastAsia="zh-CN"/>
        </w:rPr>
      </w:pPr>
      <w:r>
        <w:rPr>
          <w:rFonts w:hint="eastAsia" w:ascii="黑体" w:hAnsi="黑体" w:eastAsia="黑体" w:cs="黑体"/>
          <w:b/>
          <w:bCs/>
          <w:sz w:val="24"/>
          <w:lang w:eastAsia="zh-CN"/>
        </w:rPr>
        <w:t>附图一、福建省“三总六横两联”综合运输大通道布局图</w:t>
      </w:r>
    </w:p>
    <w:p>
      <w:pPr>
        <w:autoSpaceDE w:val="0"/>
        <w:autoSpaceDN w:val="0"/>
        <w:adjustRightInd w:val="0"/>
        <w:spacing w:after="156" w:afterLines="50" w:line="360" w:lineRule="auto"/>
        <w:ind w:firstLine="480" w:firstLineChars="200"/>
        <w:jc w:val="left"/>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drawing>
          <wp:inline distT="0" distB="0" distL="114300" distR="114300">
            <wp:extent cx="5270500" cy="7256780"/>
            <wp:effectExtent l="0" t="0" r="6350" b="1270"/>
            <wp:docPr id="1" name="图片 1" descr="01-三六二大通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1-三六二大通道"/>
                    <pic:cNvPicPr>
                      <a:picLocks noChangeAspect="1"/>
                    </pic:cNvPicPr>
                  </pic:nvPicPr>
                  <pic:blipFill>
                    <a:blip r:embed="rId6"/>
                    <a:stretch>
                      <a:fillRect/>
                    </a:stretch>
                  </pic:blipFill>
                  <pic:spPr>
                    <a:xfrm>
                      <a:off x="0" y="0"/>
                      <a:ext cx="5270500" cy="7256780"/>
                    </a:xfrm>
                    <a:prstGeom prst="rect">
                      <a:avLst/>
                    </a:prstGeom>
                  </pic:spPr>
                </pic:pic>
              </a:graphicData>
            </a:graphic>
          </wp:inline>
        </w:drawing>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altName w:val="微软雅黑"/>
    <w:panose1 w:val="03000509000000000000"/>
    <w:charset w:val="86"/>
    <w:family w:val="script"/>
    <w:pitch w:val="default"/>
    <w:sig w:usb0="00000000" w:usb1="00000000" w:usb2="00000000" w:usb3="00000000" w:csb0="00040000" w:csb1="00000000"/>
  </w:font>
  <w:font w:name="ESRI AMFM Electric">
    <w:altName w:val="Segoe UI Semilight"/>
    <w:panose1 w:val="02000400000000000000"/>
    <w:charset w:val="00"/>
    <w:family w:val="auto"/>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 w:name="Segoe UI Semilight">
    <w:panose1 w:val="020B04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0984542"/>
    </w:sdtPr>
    <w:sdtEndPr>
      <w:rPr>
        <w:rFonts w:ascii="Times New Roman" w:hAnsi="Times New Roman" w:cs="Times New Roman"/>
        <w:sz w:val="21"/>
        <w:szCs w:val="21"/>
      </w:rPr>
    </w:sdtEndPr>
    <w:sdtContent>
      <w:p>
        <w:pPr>
          <w:pStyle w:val="10"/>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11</w:t>
        </w:r>
        <w:r>
          <w:rPr>
            <w:rFonts w:ascii="Times New Roman" w:hAnsi="Times New Roman" w:cs="Times New Roman"/>
            <w:sz w:val="21"/>
            <w:szCs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320"/>
    <w:rsid w:val="000B4AAE"/>
    <w:rsid w:val="001131A1"/>
    <w:rsid w:val="0014679F"/>
    <w:rsid w:val="00174888"/>
    <w:rsid w:val="001A7FB6"/>
    <w:rsid w:val="001B5320"/>
    <w:rsid w:val="00304DE3"/>
    <w:rsid w:val="0031546E"/>
    <w:rsid w:val="0033048B"/>
    <w:rsid w:val="003373A9"/>
    <w:rsid w:val="003B33E2"/>
    <w:rsid w:val="003E4AAA"/>
    <w:rsid w:val="00422E1A"/>
    <w:rsid w:val="00553D65"/>
    <w:rsid w:val="005C1380"/>
    <w:rsid w:val="00640183"/>
    <w:rsid w:val="006726C1"/>
    <w:rsid w:val="00682886"/>
    <w:rsid w:val="006850E8"/>
    <w:rsid w:val="006A0C50"/>
    <w:rsid w:val="006F02C6"/>
    <w:rsid w:val="006F2C2C"/>
    <w:rsid w:val="00771C46"/>
    <w:rsid w:val="007C2CDD"/>
    <w:rsid w:val="00801AA7"/>
    <w:rsid w:val="00801BD2"/>
    <w:rsid w:val="00811D2F"/>
    <w:rsid w:val="00833674"/>
    <w:rsid w:val="0085420E"/>
    <w:rsid w:val="008A1D17"/>
    <w:rsid w:val="008B21D6"/>
    <w:rsid w:val="008C39F6"/>
    <w:rsid w:val="009263F0"/>
    <w:rsid w:val="009A7C1F"/>
    <w:rsid w:val="009E747F"/>
    <w:rsid w:val="00A26927"/>
    <w:rsid w:val="00B273A3"/>
    <w:rsid w:val="00C17DD2"/>
    <w:rsid w:val="00C42A69"/>
    <w:rsid w:val="00C956EC"/>
    <w:rsid w:val="00D44A3F"/>
    <w:rsid w:val="00D70D84"/>
    <w:rsid w:val="00DB57D5"/>
    <w:rsid w:val="00DE18A1"/>
    <w:rsid w:val="00DE2D38"/>
    <w:rsid w:val="00E55604"/>
    <w:rsid w:val="00E55FA8"/>
    <w:rsid w:val="00ED17B7"/>
    <w:rsid w:val="00F072A2"/>
    <w:rsid w:val="00F1717F"/>
    <w:rsid w:val="00F54155"/>
    <w:rsid w:val="00F6508F"/>
    <w:rsid w:val="00F71987"/>
    <w:rsid w:val="00FA0C43"/>
    <w:rsid w:val="0A475EEF"/>
    <w:rsid w:val="2E440546"/>
    <w:rsid w:val="303677FE"/>
    <w:rsid w:val="69A74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8"/>
    <w:unhideWhenUsed/>
    <w:qFormat/>
    <w:uiPriority w:val="9"/>
    <w:pPr>
      <w:keepNext/>
      <w:keepLines/>
      <w:spacing w:after="120"/>
      <w:outlineLvl w:val="1"/>
    </w:pPr>
    <w:rPr>
      <w:rFonts w:ascii="Times New Roman" w:hAnsi="Times New Roman" w:eastAsia="黑体" w:cstheme="majorBidi"/>
      <w:bCs/>
      <w:sz w:val="28"/>
      <w:szCs w:val="32"/>
    </w:rPr>
  </w:style>
  <w:style w:type="paragraph" w:styleId="5">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2">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next w:val="1"/>
    <w:qFormat/>
    <w:uiPriority w:val="0"/>
    <w:pPr>
      <w:spacing w:line="336" w:lineRule="auto"/>
      <w:ind w:firstLine="539"/>
    </w:pPr>
    <w:rPr>
      <w:rFonts w:ascii="Calibri" w:hAnsi="Calibri" w:eastAsia="宋体" w:cs="Times New Roman"/>
      <w:spacing w:val="6"/>
      <w:kern w:val="0"/>
      <w:sz w:val="24"/>
      <w:szCs w:val="20"/>
      <w:lang w:val="zh-CN"/>
    </w:rPr>
  </w:style>
  <w:style w:type="paragraph" w:styleId="6">
    <w:name w:val="annotation subject"/>
    <w:basedOn w:val="7"/>
    <w:next w:val="7"/>
    <w:link w:val="23"/>
    <w:unhideWhenUsed/>
    <w:qFormat/>
    <w:uiPriority w:val="99"/>
    <w:rPr>
      <w:b/>
      <w:bCs/>
    </w:rPr>
  </w:style>
  <w:style w:type="paragraph" w:styleId="7">
    <w:name w:val="annotation text"/>
    <w:basedOn w:val="1"/>
    <w:link w:val="22"/>
    <w:unhideWhenUsed/>
    <w:qFormat/>
    <w:uiPriority w:val="99"/>
    <w:pPr>
      <w:jc w:val="left"/>
    </w:pPr>
  </w:style>
  <w:style w:type="paragraph" w:styleId="8">
    <w:name w:val="Normal Indent"/>
    <w:basedOn w:val="1"/>
    <w:link w:val="19"/>
    <w:unhideWhenUsed/>
    <w:qFormat/>
    <w:uiPriority w:val="0"/>
    <w:pPr>
      <w:spacing w:after="120" w:line="360" w:lineRule="auto"/>
      <w:ind w:firstLine="420" w:firstLineChars="200"/>
    </w:pPr>
    <w:rPr>
      <w:rFonts w:ascii="Times New Roman" w:hAnsi="Times New Roman" w:eastAsia="宋体"/>
      <w:sz w:val="24"/>
    </w:rPr>
  </w:style>
  <w:style w:type="paragraph" w:styleId="9">
    <w:name w:val="Balloon Text"/>
    <w:basedOn w:val="1"/>
    <w:link w:val="25"/>
    <w:unhideWhenUsed/>
    <w:qFormat/>
    <w:uiPriority w:val="99"/>
    <w:rPr>
      <w:sz w:val="18"/>
      <w:szCs w:val="18"/>
    </w:rPr>
  </w:style>
  <w:style w:type="paragraph" w:styleId="10">
    <w:name w:val="footer"/>
    <w:basedOn w:val="1"/>
    <w:link w:val="17"/>
    <w:unhideWhenUsed/>
    <w:qFormat/>
    <w:uiPriority w:val="99"/>
    <w:pPr>
      <w:tabs>
        <w:tab w:val="center" w:pos="4153"/>
        <w:tab w:val="right" w:pos="8306"/>
      </w:tabs>
      <w:snapToGrid w:val="0"/>
      <w:jc w:val="left"/>
    </w:pPr>
    <w:rPr>
      <w:sz w:val="18"/>
      <w:szCs w:val="18"/>
    </w:rPr>
  </w:style>
  <w:style w:type="paragraph" w:styleId="11">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character" w:styleId="13">
    <w:name w:val="annotation reference"/>
    <w:basedOn w:val="12"/>
    <w:unhideWhenUsed/>
    <w:qFormat/>
    <w:uiPriority w:val="99"/>
    <w:rPr>
      <w:sz w:val="21"/>
      <w:szCs w:val="21"/>
    </w:rPr>
  </w:style>
  <w:style w:type="table" w:styleId="15">
    <w:name w:val="Table Grid 1"/>
    <w:basedOn w:val="14"/>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
    <w:tcPr>
      <w:shd w:val="clear" w:color="auto" w:fill="auto"/>
    </w:tcPr>
    <w:tblStylePr w:type="lastRow">
      <w:rPr>
        <w:i/>
        <w:iCs/>
      </w:rPr>
      <w:tblPr>
        <w:tblLayout w:type="fixed"/>
      </w:tblPr>
      <w:tcPr>
        <w:tcBorders>
          <w:tl2br w:val="nil"/>
          <w:tr2bl w:val="nil"/>
        </w:tcBorders>
      </w:tcPr>
    </w:tblStylePr>
    <w:tblStylePr w:type="lastCol">
      <w:rPr>
        <w:i/>
        <w:iCs/>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character" w:customStyle="1" w:styleId="16">
    <w:name w:val="页眉 字符"/>
    <w:basedOn w:val="12"/>
    <w:link w:val="11"/>
    <w:qFormat/>
    <w:uiPriority w:val="99"/>
    <w:rPr>
      <w:sz w:val="18"/>
      <w:szCs w:val="18"/>
    </w:rPr>
  </w:style>
  <w:style w:type="character" w:customStyle="1" w:styleId="17">
    <w:name w:val="页脚 字符"/>
    <w:basedOn w:val="12"/>
    <w:link w:val="10"/>
    <w:qFormat/>
    <w:uiPriority w:val="99"/>
    <w:rPr>
      <w:sz w:val="18"/>
      <w:szCs w:val="18"/>
    </w:rPr>
  </w:style>
  <w:style w:type="character" w:customStyle="1" w:styleId="18">
    <w:name w:val="标题 2 字符"/>
    <w:basedOn w:val="12"/>
    <w:link w:val="4"/>
    <w:qFormat/>
    <w:uiPriority w:val="9"/>
    <w:rPr>
      <w:rFonts w:ascii="Times New Roman" w:hAnsi="Times New Roman" w:eastAsia="黑体" w:cstheme="majorBidi"/>
      <w:bCs/>
      <w:sz w:val="28"/>
      <w:szCs w:val="32"/>
    </w:rPr>
  </w:style>
  <w:style w:type="character" w:customStyle="1" w:styleId="19">
    <w:name w:val="正文缩进 字符"/>
    <w:link w:val="8"/>
    <w:qFormat/>
    <w:uiPriority w:val="0"/>
    <w:rPr>
      <w:rFonts w:ascii="Times New Roman" w:hAnsi="Times New Roman" w:eastAsia="宋体"/>
      <w:sz w:val="24"/>
    </w:rPr>
  </w:style>
  <w:style w:type="character" w:customStyle="1" w:styleId="20">
    <w:name w:val="标题 1 字符"/>
    <w:basedOn w:val="12"/>
    <w:link w:val="3"/>
    <w:qFormat/>
    <w:uiPriority w:val="9"/>
    <w:rPr>
      <w:b/>
      <w:bCs/>
      <w:kern w:val="44"/>
      <w:sz w:val="44"/>
      <w:szCs w:val="44"/>
    </w:rPr>
  </w:style>
  <w:style w:type="character" w:customStyle="1" w:styleId="21">
    <w:name w:val="标题 3 字符"/>
    <w:basedOn w:val="12"/>
    <w:link w:val="5"/>
    <w:semiHidden/>
    <w:qFormat/>
    <w:uiPriority w:val="9"/>
    <w:rPr>
      <w:b/>
      <w:bCs/>
      <w:sz w:val="32"/>
      <w:szCs w:val="32"/>
    </w:rPr>
  </w:style>
  <w:style w:type="character" w:customStyle="1" w:styleId="22">
    <w:name w:val="批注文字 字符"/>
    <w:basedOn w:val="12"/>
    <w:link w:val="7"/>
    <w:semiHidden/>
    <w:qFormat/>
    <w:uiPriority w:val="99"/>
  </w:style>
  <w:style w:type="character" w:customStyle="1" w:styleId="23">
    <w:name w:val="批注主题 字符"/>
    <w:basedOn w:val="22"/>
    <w:link w:val="6"/>
    <w:semiHidden/>
    <w:qFormat/>
    <w:uiPriority w:val="99"/>
    <w:rPr>
      <w:b/>
      <w:bCs/>
    </w:rPr>
  </w:style>
  <w:style w:type="paragraph" w:customStyle="1" w:styleId="24">
    <w:name w:val="List Paragraph"/>
    <w:basedOn w:val="1"/>
    <w:qFormat/>
    <w:uiPriority w:val="34"/>
    <w:pPr>
      <w:ind w:firstLine="420" w:firstLineChars="200"/>
    </w:pPr>
  </w:style>
  <w:style w:type="character" w:customStyle="1" w:styleId="25">
    <w:name w:val="批注框文本 字符"/>
    <w:basedOn w:val="12"/>
    <w:link w:val="9"/>
    <w:semiHidden/>
    <w:qFormat/>
    <w:uiPriority w:val="99"/>
    <w:rPr>
      <w:sz w:val="18"/>
      <w:szCs w:val="18"/>
    </w:rPr>
  </w:style>
  <w:style w:type="paragraph" w:customStyle="1" w:styleId="26">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7">
    <w:name w:val="a表格"/>
    <w:basedOn w:val="1"/>
    <w:link w:val="31"/>
    <w:qFormat/>
    <w:uiPriority w:val="0"/>
    <w:pPr>
      <w:snapToGrid w:val="0"/>
      <w:jc w:val="center"/>
    </w:pPr>
    <w:rPr>
      <w:rFonts w:ascii="Times New Roman" w:hAnsi="Times New Roman" w:eastAsia="宋体" w:cs="Times New Roman"/>
      <w:color w:val="000000"/>
      <w:szCs w:val="24"/>
    </w:rPr>
  </w:style>
  <w:style w:type="paragraph" w:customStyle="1" w:styleId="28">
    <w:name w:val="!表标题"/>
    <w:basedOn w:val="1"/>
    <w:link w:val="29"/>
    <w:qFormat/>
    <w:uiPriority w:val="0"/>
    <w:pPr>
      <w:widowControl/>
      <w:spacing w:before="156" w:beforeLines="50" w:line="360" w:lineRule="auto"/>
      <w:jc w:val="center"/>
    </w:pPr>
    <w:rPr>
      <w:rFonts w:ascii="Times New Roman" w:hAnsi="Times New Roman" w:cs="Times New Roman" w:eastAsiaTheme="majorEastAsia"/>
      <w:b/>
      <w:kern w:val="0"/>
      <w:szCs w:val="20"/>
    </w:rPr>
  </w:style>
  <w:style w:type="character" w:customStyle="1" w:styleId="29">
    <w:name w:val="!表标题 Char"/>
    <w:basedOn w:val="12"/>
    <w:link w:val="28"/>
    <w:qFormat/>
    <w:uiPriority w:val="0"/>
    <w:rPr>
      <w:rFonts w:ascii="Times New Roman" w:hAnsi="Times New Roman" w:cs="Times New Roman" w:eastAsiaTheme="majorEastAsia"/>
      <w:b/>
      <w:kern w:val="0"/>
      <w:szCs w:val="20"/>
    </w:rPr>
  </w:style>
  <w:style w:type="table" w:customStyle="1" w:styleId="30">
    <w:name w:val="专栏"/>
    <w:basedOn w:val="15"/>
    <w:qFormat/>
    <w:uiPriority w:val="99"/>
    <w:pPr>
      <w:widowControl/>
      <w:spacing w:line="360" w:lineRule="auto"/>
      <w:ind w:firstLine="200" w:firstLineChars="200"/>
      <w:jc w:val="center"/>
    </w:pPr>
    <w:rPr>
      <w:rFonts w:ascii="Times New Roman" w:hAnsi="Times New Roman" w:eastAsia="宋体" w:cs="Times New Roman"/>
      <w:kern w:val="0"/>
      <w:sz w:val="24"/>
      <w:szCs w:val="20"/>
    </w:rPr>
    <w:tblP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9" w:type="dxa"/>
        <w:left w:w="72" w:type="dxa"/>
        <w:bottom w:w="29" w:type="dxa"/>
        <w:right w:w="72" w:type="dxa"/>
      </w:tblCellMar>
    </w:tblPr>
    <w:tcPr>
      <w:shd w:val="clear" w:color="auto" w:fill="CDECFF"/>
      <w:vAlign w:val="center"/>
    </w:tcPr>
    <w:tblStylePr w:type="firstRow">
      <w:rPr>
        <w:rFonts w:asciiTheme="minorHAnsi" w:hAnsiTheme="minorHAnsi" w:eastAsiaTheme="minorEastAsia"/>
      </w:rPr>
      <w:tcPr>
        <w:tcBorders>
          <w:top w:val="single" w:color="auto" w:sz="8" w:space="0"/>
          <w:left w:val="single" w:color="auto" w:sz="8" w:space="0"/>
          <w:bottom w:val="single" w:color="auto" w:sz="4" w:space="0"/>
          <w:right w:val="single" w:color="auto" w:sz="8" w:space="0"/>
          <w:insideH w:val="nil"/>
          <w:insideV w:val="single" w:sz="4" w:space="0"/>
          <w:tl2br w:val="nil"/>
          <w:tr2bl w:val="nil"/>
        </w:tcBorders>
        <w:shd w:val="clear" w:color="auto" w:fill="C7D9F1"/>
      </w:tcPr>
    </w:tblStylePr>
    <w:tblStylePr w:type="lastRow">
      <w:rPr>
        <w:i/>
        <w:iCs/>
      </w:rPr>
      <w:tcPr>
        <w:tcBorders>
          <w:tl2br w:val="nil"/>
          <w:tr2bl w:val="nil"/>
        </w:tcBorders>
      </w:tcPr>
    </w:tblStylePr>
    <w:tblStylePr w:type="lastCol">
      <w:rPr>
        <w:i/>
        <w:iCs/>
      </w:rPr>
      <w:tcPr>
        <w:tcBorders>
          <w:tl2br w:val="nil"/>
          <w:tr2bl w:val="nil"/>
        </w:tcBorders>
      </w:tcPr>
    </w:tblStylePr>
    <w:tblStylePr w:type="nwCell">
      <w:tcPr>
        <w:tcBorders>
          <w:tl2br w:val="single" w:color="000000" w:sz="6" w:space="0"/>
          <w:tr2bl w:val="nil"/>
        </w:tcBorders>
      </w:tcPr>
    </w:tblStylePr>
  </w:style>
  <w:style w:type="character" w:customStyle="1" w:styleId="31">
    <w:name w:val="a表格 Char"/>
    <w:link w:val="27"/>
    <w:qFormat/>
    <w:uiPriority w:val="0"/>
    <w:rPr>
      <w:rFonts w:ascii="Times New Roman" w:hAnsi="Times New Roman" w:eastAsia="宋体" w:cs="Times New Roman"/>
      <w:color w:val="00000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1437</Words>
  <Characters>8195</Characters>
  <Lines>68</Lines>
  <Paragraphs>19</Paragraphs>
  <TotalTime>1</TotalTime>
  <ScaleCrop>false</ScaleCrop>
  <LinksUpToDate>false</LinksUpToDate>
  <CharactersWithSpaces>9613</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2022-03-14T09:43:00Z</dcterms:created>
  <dc:creator>Zhang</dc:creator>
  <cp:lastModifiedBy>lenovo</cp:lastModifiedBy>
  <dcterms:modified xsi:type="dcterms:W3CDTF">2022-08-24T02:55:25Z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y fmtid="{D5CDD505-2E9C-101B-9397-08002B2CF9AE}" pid="3" name="ICV">
    <vt:lpwstr>6246B6460BBD42018F4C611C2C7A0871</vt:lpwstr>
  </property>
</Properties>
</file>