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附件2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福建省交通建设质量安全中心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2024-2025年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eastAsia="zh-CN"/>
        </w:rPr>
        <w:t>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</w:rPr>
        <w:t>纸化智能会议系统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运维服务报价单</w:t>
      </w:r>
    </w:p>
    <w:tbl>
      <w:tblPr>
        <w:tblStyle w:val="5"/>
        <w:tblW w:w="85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234"/>
        <w:gridCol w:w="50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tblHeader/>
          <w:jc w:val="center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  <w:t>序 号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  <w:t>名  称</w:t>
            </w:r>
          </w:p>
        </w:tc>
        <w:tc>
          <w:tcPr>
            <w:tcW w:w="5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24"/>
              </w:rPr>
              <w:t>详细说明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设备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日常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巡检</w:t>
            </w:r>
          </w:p>
        </w:tc>
        <w:tc>
          <w:tcPr>
            <w:tcW w:w="5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1.每月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对会议系统进行预防性检测和诊断，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重点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对容易老化的接头、网线等易造成信号丢失的配件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进行检查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，一旦发现老化现象及时更换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每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检测传输线路质量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和相关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服务器，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按规定及时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处理故障隐患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每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月对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机房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的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通风、散热、净尘、供电等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情况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进行检查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4.每月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分析设备的运行情况，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根据工作需要提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交系统运行状态及维保记录。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软件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维护与更新</w:t>
            </w:r>
          </w:p>
        </w:tc>
        <w:tc>
          <w:tcPr>
            <w:tcW w:w="5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每季度对会议系统设备软件版本进行管理，根据系统状态及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工作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需求，提供双面桌面一体机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嵌入式多媒体会议终端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全数字会议控制主机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AV管理中心机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控制终端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等相关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软件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的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维护与更新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硬件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维修服务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硬件配件更换包干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提供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硬件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维修服务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硬件配件更换包干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）。原则上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24小时内设备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应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到达现场替换故障设备，以保证系统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正常使用。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会议核心关键设备的备件必须是原厂备件，不得以其它方式替代。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5" w:hRule="atLeast"/>
          <w:jc w:val="center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其它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服务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内容</w:t>
            </w:r>
          </w:p>
        </w:tc>
        <w:tc>
          <w:tcPr>
            <w:tcW w:w="5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1.建立电话实时响应服务机制。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一旦会议系统发生故障，在工程师到达现场前，应第一时间开展应急处理工作，提供远程技术指导和咨询，包括故障诊断与排除服务。若远程指导服务不能解决问题，工程师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30分钟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内到达现场提供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相关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服务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2.提供会议保障服务。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根据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工作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需要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提供会议调试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eastAsia="zh-CN"/>
              </w:rPr>
              <w:t>、过程跟踪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等相关会议系统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保障服务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  <w:lang w:val="en-US" w:eastAsia="zh-CN"/>
              </w:rPr>
              <w:t>工作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8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总报价：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元（含税）。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left="0" w:leftChars="0" w:firstLine="0" w:firstLineChars="0"/>
              <w:jc w:val="righ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>单位：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（公章）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汉仪书宋二KW"/>
    <w:panose1 w:val="02010600030101010101"/>
    <w:charset w:val="8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汉仪仿宋KW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51790"/>
    <w:rsid w:val="0373235C"/>
    <w:rsid w:val="0CB36F01"/>
    <w:rsid w:val="0D4E7C4C"/>
    <w:rsid w:val="26BF4469"/>
    <w:rsid w:val="2FF14139"/>
    <w:rsid w:val="40B171CD"/>
    <w:rsid w:val="55254153"/>
    <w:rsid w:val="5802436D"/>
    <w:rsid w:val="6DA03162"/>
    <w:rsid w:val="708F6F5E"/>
    <w:rsid w:val="71F51790"/>
    <w:rsid w:val="977E9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Indent"/>
    <w:basedOn w:val="1"/>
    <w:qFormat/>
    <w:uiPriority w:val="99"/>
    <w:pPr>
      <w:ind w:firstLine="42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WWO_wpscloud_20240914162838-460cc54746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2023-09-26T11:30:00Z</dcterms:created>
  <dc:creator>田宇秀</dc:creator>
  <cp:lastModifiedBy>惠</cp:lastModifiedBy>
  <dcterms:modified xsi:type="dcterms:W3CDTF">2024-11-19T21:37:01Z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