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5A22">
      <w:pPr>
        <w:widowControl w:val="0"/>
        <w:shd w:val="clear"/>
        <w:spacing w:after="0" w:line="570" w:lineRule="exact"/>
        <w:jc w:val="center"/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</w:rPr>
        <w:t>福建省湄洲湾港口发展中心</w:t>
      </w:r>
    </w:p>
    <w:p w14:paraId="33ECC76D">
      <w:pPr>
        <w:widowControl w:val="0"/>
        <w:shd w:val="clear"/>
        <w:spacing w:after="0" w:line="570" w:lineRule="exact"/>
        <w:ind w:firstLine="627" w:firstLineChars="196"/>
        <w:jc w:val="center"/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  <w:lang w:val="en-US" w:eastAsia="zh-CN"/>
        </w:rPr>
        <w:t>基于两个发明专利的数智港口关键技术可行性研究暨初步设计服务</w:t>
      </w:r>
    </w:p>
    <w:p w14:paraId="082FC135">
      <w:pPr>
        <w:widowControl w:val="0"/>
        <w:shd w:val="clear"/>
        <w:spacing w:after="0" w:line="570" w:lineRule="exact"/>
        <w:ind w:firstLine="627" w:firstLineChars="196"/>
        <w:jc w:val="center"/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  <w:lang w:val="en-US" w:eastAsia="zh-CN"/>
        </w:rPr>
        <w:t>比选公告</w:t>
      </w:r>
    </w:p>
    <w:p w14:paraId="1B3B2CC8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一、项目概况</w:t>
      </w:r>
    </w:p>
    <w:p w14:paraId="375AB225">
      <w:pPr>
        <w:widowControl w:val="0"/>
        <w:shd w:val="clear"/>
        <w:spacing w:after="0" w:line="570" w:lineRule="exact"/>
        <w:ind w:firstLine="470" w:firstLineChars="19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1.项目名称：基于两个发明专利的数智港口关键技术可行性研究暨初步设计。</w:t>
      </w:r>
    </w:p>
    <w:p w14:paraId="5775BCCE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2.采购内容：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完成基于两个发明专利的数智港口关键技术可行性研究暨初步设计，并通过专家审查。（1）编制完成《福建省交通运输科技项目立项申请书》1份；（2）形成《基于两个发明专利的数智港口关键技术可行性研究暨初步设计》1篇；（3）组织并通过相关行业专家开展《基于两个发明专利的数智港口关键技术可行性研究暨初步设计》审查。</w:t>
      </w:r>
    </w:p>
    <w:p w14:paraId="59B997A1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3.服务期限：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合同签订之日起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8个月内，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双方权利、义务履行完毕后终止。</w:t>
      </w:r>
    </w:p>
    <w:p w14:paraId="1DA14D65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4.项目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最高控制价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9.8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万元。</w:t>
      </w:r>
    </w:p>
    <w:p w14:paraId="44D91E46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5.采购方式：比选采购。</w:t>
      </w:r>
    </w:p>
    <w:p w14:paraId="6522AFEA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二、供应商资格和要求</w:t>
      </w:r>
    </w:p>
    <w:p w14:paraId="191A55C3">
      <w:pPr>
        <w:pStyle w:val="15"/>
        <w:shd w:val="clear"/>
        <w:spacing w:before="0" w:beforeAutospacing="0" w:after="0" w:afterAutospacing="0" w:line="57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Cs w:val="24"/>
          <w:highlight w:val="none"/>
        </w:rPr>
      </w:pPr>
      <w:bookmarkStart w:id="0" w:name="OLE_LINK17"/>
      <w:bookmarkStart w:id="1" w:name="OLE_LINK18"/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1.供应商须有能力提供本比选公告所述服务，提供有效的营业执照复印件；</w:t>
      </w:r>
    </w:p>
    <w:bookmarkEnd w:id="0"/>
    <w:bookmarkEnd w:id="1"/>
    <w:p w14:paraId="612CA8AF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color w:val="auto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2.供应商代表必须经供应商的法定代表人关于参与本项目报价的授权，请提供法定代表人授权供应商代表的授权委托书原件（供应商代表是法定代表人的无需提供）、法定代表人和供应商代表的身份证复印件；</w:t>
      </w:r>
    </w:p>
    <w:p w14:paraId="61BC08F6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color w:val="auto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3.供应商需提供参加采购活动前三年内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在经营活动中没有重大违法记录书面声明</w:t>
      </w:r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，格式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4"/>
          <w:highlight w:val="none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4"/>
          <w:highlight w:val="none"/>
          <w:lang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；</w:t>
      </w:r>
    </w:p>
    <w:p w14:paraId="28BC3AE6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color w:val="auto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  <w:t>4.服务要求：</w:t>
      </w:r>
      <w:r>
        <w:rPr>
          <w:rFonts w:hint="eastAsia" w:hAnsi="Times New Roman" w:eastAsia="宋体"/>
          <w:color w:val="auto"/>
          <w:szCs w:val="24"/>
          <w:highlight w:val="none"/>
          <w:lang w:val="zh-CN"/>
        </w:rPr>
        <w:t>中选人应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按采购人</w:t>
      </w:r>
      <w:r>
        <w:rPr>
          <w:rFonts w:hint="eastAsia" w:hAnsi="Times New Roman" w:eastAsia="宋体"/>
          <w:color w:val="auto"/>
          <w:szCs w:val="24"/>
          <w:highlight w:val="none"/>
          <w:lang w:val="zh-CN"/>
        </w:rPr>
        <w:t>要求自合同签订之日起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10</w:t>
      </w:r>
      <w:r>
        <w:rPr>
          <w:rFonts w:hint="eastAsia" w:hAnsi="Times New Roman" w:eastAsia="宋体"/>
          <w:color w:val="auto"/>
          <w:szCs w:val="24"/>
          <w:highlight w:val="none"/>
          <w:lang w:val="zh-CN"/>
        </w:rPr>
        <w:t>日内编制完成《福建省交通运输科技项目立项申请书》；合同签订之日起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6个月</w:t>
      </w:r>
      <w:r>
        <w:rPr>
          <w:rFonts w:hint="eastAsia" w:hAnsi="Times New Roman" w:eastAsia="宋体"/>
          <w:color w:val="auto"/>
          <w:szCs w:val="24"/>
          <w:highlight w:val="none"/>
          <w:lang w:val="zh-CN"/>
        </w:rPr>
        <w:t>内完成《基于两个发明专利的数智港口关键技术可行性研究暨初步设计》，合同签订之日起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8个月内《基于两个发明专利的数智港口关键技术可行性研究暨初步设计》</w:t>
      </w:r>
      <w:r>
        <w:rPr>
          <w:rFonts w:hint="eastAsia" w:hAnsi="Times New Roman" w:eastAsia="宋体"/>
          <w:color w:val="auto"/>
          <w:szCs w:val="24"/>
          <w:highlight w:val="none"/>
          <w:lang w:val="zh-CN"/>
        </w:rPr>
        <w:t>通过专家审查。</w:t>
      </w:r>
    </w:p>
    <w:p w14:paraId="2FA6C171">
      <w:pPr>
        <w:pStyle w:val="15"/>
        <w:shd w:val="clear"/>
        <w:spacing w:before="0" w:beforeAutospacing="0" w:after="0" w:afterAutospacing="0" w:line="570" w:lineRule="exact"/>
        <w:ind w:left="1920" w:leftChars="218" w:hanging="1440" w:hangingChars="6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5.本项目</w:t>
      </w:r>
      <w:r>
        <w:rPr>
          <w:rFonts w:hint="eastAsia" w:hAnsi="Times New Roman" w:eastAsia="宋体"/>
          <w:b/>
          <w:bCs/>
          <w:color w:val="auto"/>
          <w:szCs w:val="24"/>
          <w:highlight w:val="none"/>
          <w:lang w:val="en-US" w:eastAsia="zh-CN"/>
        </w:rPr>
        <w:t>投标保</w:t>
      </w:r>
      <w:r>
        <w:rPr>
          <w:rFonts w:hint="eastAsia" w:hAnsi="Times New Roman" w:eastAsia="宋体"/>
          <w:b/>
          <w:bCs/>
          <w:color w:val="auto"/>
          <w:szCs w:val="24"/>
          <w:highlight w:val="none"/>
          <w:lang w:val="en-US" w:eastAsia="zh-CN"/>
        </w:rPr>
        <w:t>证金为1960元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，</w:t>
      </w:r>
      <w:r>
        <w:rPr>
          <w:rFonts w:hint="eastAsia" w:hAnsi="Times New Roman" w:eastAsia="宋体"/>
          <w:b/>
          <w:bCs/>
          <w:color w:val="auto"/>
          <w:szCs w:val="24"/>
          <w:highlight w:val="none"/>
          <w:lang w:val="en-US" w:eastAsia="zh-CN"/>
        </w:rPr>
        <w:t>请参选单位于2025年2月19日15:00前将投标保证金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缴交至以下账户：账号：1408011209022038815     户名：福建省湄洲湾港口发展中心</w:t>
      </w:r>
    </w:p>
    <w:p w14:paraId="43039E1F">
      <w:pPr>
        <w:pStyle w:val="15"/>
        <w:shd w:val="clear"/>
        <w:spacing w:before="0" w:beforeAutospacing="0" w:after="0" w:afterAutospacing="0" w:line="570" w:lineRule="exact"/>
        <w:ind w:firstLine="1920" w:firstLineChars="8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开户行：工商银行泉港支行</w:t>
      </w:r>
    </w:p>
    <w:p w14:paraId="27EF34AA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未按时提交投标保证金的不得参选。参选人应认真核对账户信息，将投标保证金汇入以上账户，并自行承担因汇错投标保证金而产生的一切后果。参选人在转账或电汇的凭证上应按照以下格式注明，以便核对：“（项目名称：***）的投标保证金”。</w:t>
      </w:r>
    </w:p>
    <w:p w14:paraId="007ACC5B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6.本项目履约保证金为合同金额的10%：</w:t>
      </w:r>
      <w:r>
        <w:rPr>
          <w:rFonts w:hint="eastAsia" w:hAnsi="Times New Roman" w:eastAsia="宋体"/>
          <w:b/>
          <w:bCs/>
          <w:color w:val="auto"/>
          <w:szCs w:val="24"/>
          <w:highlight w:val="none"/>
          <w:lang w:val="en-US" w:eastAsia="zh-CN"/>
        </w:rPr>
        <w:t>在签订合同前，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中选人应向采购人提交履约保证金（合同总额的10%），账户信息如下：</w:t>
      </w:r>
    </w:p>
    <w:p w14:paraId="7F304B39">
      <w:pPr>
        <w:pStyle w:val="15"/>
        <w:shd w:val="clear"/>
        <w:spacing w:before="0" w:beforeAutospacing="0" w:after="0" w:afterAutospacing="0" w:line="570" w:lineRule="exact"/>
        <w:ind w:firstLine="1200" w:firstLineChars="5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账号：1408011209022038815     户名：福建省湄洲湾港口发展中心</w:t>
      </w:r>
    </w:p>
    <w:p w14:paraId="34D3FAE5">
      <w:pPr>
        <w:pStyle w:val="15"/>
        <w:shd w:val="clear"/>
        <w:spacing w:before="0" w:beforeAutospacing="0" w:after="0" w:afterAutospacing="0" w:line="570" w:lineRule="exact"/>
        <w:ind w:firstLine="1200" w:firstLineChars="5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开户行：工商银行泉港支行</w:t>
      </w:r>
    </w:p>
    <w:p w14:paraId="4EF88FF8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在未违约情况下，履约保证金在整个项目实施完毕并验收合格后30个工作日内无息退还。如因中选人原因造成合同解除的，采购人有权不返还履约保证金。</w:t>
      </w:r>
    </w:p>
    <w:p w14:paraId="5AB5AAD7">
      <w:pPr>
        <w:pStyle w:val="15"/>
        <w:shd w:val="clear"/>
        <w:spacing w:before="0" w:beforeAutospacing="0" w:after="0" w:afterAutospacing="0" w:line="57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未按时提交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履约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保证金的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，采购人有权不签订合同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。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中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选人应认真核对账户信息，将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履约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保证金汇入以上账户，并自行承担因汇错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履约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保证金而产生的一切后果。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中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选人在转账或电汇的凭证上应按照以下格式注明，以便核对：“（项目名称：***）的</w:t>
      </w:r>
      <w:r>
        <w:rPr>
          <w:rFonts w:hint="eastAsia" w:hAnsi="Times New Roman" w:eastAsia="宋体"/>
          <w:color w:val="auto"/>
          <w:szCs w:val="24"/>
          <w:highlight w:val="none"/>
          <w:lang w:val="en-US" w:eastAsia="zh-CN"/>
        </w:rPr>
        <w:t>履约</w:t>
      </w:r>
      <w:r>
        <w:rPr>
          <w:rFonts w:hint="default" w:hAnsi="Times New Roman" w:eastAsia="宋体"/>
          <w:color w:val="auto"/>
          <w:szCs w:val="24"/>
          <w:highlight w:val="none"/>
          <w:lang w:val="en-US" w:eastAsia="zh-CN"/>
        </w:rPr>
        <w:t>保证金”。</w:t>
      </w:r>
    </w:p>
    <w:p w14:paraId="3EE27FC6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三、比选方式</w:t>
      </w:r>
    </w:p>
    <w:p w14:paraId="3B1D63F9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采购人在符合经营资格的供应商(要求不少于三家)的参选件中比选，以最低参选总报价确定本项目中选供应商，发出中选通知，签订采购合同。</w:t>
      </w:r>
    </w:p>
    <w:p w14:paraId="06102603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四、验收方式</w:t>
      </w:r>
    </w:p>
    <w:p w14:paraId="2B97869A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采购人和中选人按照比选公告、中选参选件和采购合同等进行验收。经双方现场交付、验收合格后，签署《采购验收单》。</w:t>
      </w:r>
    </w:p>
    <w:p w14:paraId="6AA0BB71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五、费用及支付</w:t>
      </w:r>
    </w:p>
    <w:p w14:paraId="5DB6DA13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1.以中选总报价为采购合同总价，费用包括但不限于：现场调研费、调查费、编制费、评审费、会务费、人员工资、税金、打印文稿费用、保险等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中选人履行合同义务可能发生的一切费用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采购人不再支付其他费用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770D6BF7">
      <w:pPr>
        <w:widowControl w:val="0"/>
        <w:shd w:val="clear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一次性支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付，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中选人按要求编制完成的《基于两个发明专利的数智港口关键技术可行性研究暨初步设计》通过专家审查并经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验收合格后，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中选人提供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与合同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对应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的增值税专用发票，采购人在收到中选人增值税专用发票后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十五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工作日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内支付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相应费用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。中选人未及时提供发票的，采购人有权顺延付款。</w:t>
      </w:r>
    </w:p>
    <w:p w14:paraId="23C3116F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六、参选材料</w:t>
      </w:r>
    </w:p>
    <w:p w14:paraId="7789ABD8">
      <w:pPr>
        <w:widowControl w:val="0"/>
        <w:shd w:val="clear"/>
        <w:spacing w:after="0" w:line="570" w:lineRule="exact"/>
        <w:ind w:firstLine="470" w:firstLineChars="196"/>
        <w:jc w:val="left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参选人须提供营业执照复印件、法定代表人和供应商代表身份证复印件、授权委托书原件（若供应商代表是法定代表人的无需提供）、《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  <w:t>基于两个发明专利的数智港口关键技术可行性研究暨初步设计服务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参选报价单》（附件1，注明联系人和联系电话）、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参加采购活动前三年内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在经营活动中没有重大违法记录书面声明（附件2）。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以上参选材料均需加盖单位公章，缺一不可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材料不齐全、未加盖公章、未注明联系人或联系电话的参选信件视为无效参选件。</w:t>
      </w:r>
    </w:p>
    <w:p w14:paraId="3D06B427">
      <w:pPr>
        <w:widowControl w:val="0"/>
        <w:shd w:val="clear"/>
        <w:spacing w:after="0" w:line="570" w:lineRule="exact"/>
        <w:ind w:firstLine="482" w:firstLineChars="200"/>
        <w:rPr>
          <w:rFonts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七、参选方式及其他注意事项</w:t>
      </w:r>
    </w:p>
    <w:p w14:paraId="10CA7683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参选方式：参选人可通过直接送达、邮寄方式投递参选件参与比选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，参选件应进行密封处理并在封口处加盖单位公章，此外在封面注明“福建省湄洲湾港口发展中心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eastAsia="zh-CN"/>
        </w:rPr>
        <w:t>基于两个发明专利的数智港口关键技术可行性研究暨初步设计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服务参选件”字样。未注明的参选件无效。</w:t>
      </w:r>
    </w:p>
    <w:p w14:paraId="05FB1572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2.本项目不接受联合体参与比选，不得分包。</w:t>
      </w:r>
    </w:p>
    <w:p w14:paraId="7C26C6A3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3.参选件报送截止时间：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2025年2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15:00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以采购人收到参选件为准。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逾期无效。</w:t>
      </w:r>
    </w:p>
    <w:p w14:paraId="74688C47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4.参选价不得高于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eastAsia="zh-CN"/>
        </w:rPr>
        <w:t>项目最高控制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价。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参选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</w:rPr>
        <w:t>高于项目最高控制价视为无效参选。</w:t>
      </w:r>
    </w:p>
    <w:p w14:paraId="15AEB015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5.中选人收到采购人中选通知后，应在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个工作日内提供合同版本，签订采购合同。</w:t>
      </w:r>
    </w:p>
    <w:p w14:paraId="260CA355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6.合同履行期间，中选人的人员和财产安全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eastAsia="zh-CN"/>
        </w:rPr>
        <w:t>自行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负责。</w:t>
      </w:r>
    </w:p>
    <w:p w14:paraId="361D68AD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7.联系人：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  <w:t xml:space="preserve">郭博望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联系电话 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  <w:t>15260334084</w:t>
      </w:r>
    </w:p>
    <w:p w14:paraId="027AE9C0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地址：福建省泉州市泉港区南山中路17号　</w:t>
      </w:r>
    </w:p>
    <w:p w14:paraId="7F95B272">
      <w:pPr>
        <w:widowControl w:val="0"/>
        <w:shd w:val="clear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八、开标时间</w:t>
      </w:r>
      <w:r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及地点</w:t>
      </w:r>
    </w:p>
    <w:p w14:paraId="5E67FBB1">
      <w:pPr>
        <w:pStyle w:val="6"/>
        <w:shd w:val="clear"/>
        <w:wordWrap w:val="0"/>
        <w:spacing w:beforeAutospacing="0" w:afterAutospacing="0" w:line="570" w:lineRule="exact"/>
        <w:rPr>
          <w:rFonts w:asciiTheme="minorEastAsia" w:hAnsiTheme="minorEastAsia" w:eastAsiaTheme="minorEastAsia" w:cstheme="minorEastAsia"/>
          <w:color w:val="auto"/>
          <w:kern w:val="2"/>
          <w:szCs w:val="24"/>
          <w:highlight w:val="none"/>
        </w:rPr>
      </w:pPr>
      <w:r>
        <w:rPr>
          <w:rFonts w:ascii="����" w:hAnsi="����" w:eastAsia="����" w:cs="����"/>
          <w:color w:val="auto"/>
          <w:sz w:val="21"/>
          <w:szCs w:val="21"/>
          <w:highlight w:val="none"/>
        </w:rPr>
        <w:t>　　 </w:t>
      </w:r>
      <w:r>
        <w:rPr>
          <w:rFonts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1、开标时间：</w:t>
      </w:r>
      <w:r>
        <w:rPr>
          <w:rFonts w:hint="eastAsia" w:hAnsi="Times New Roman" w:eastAsia="宋体"/>
          <w:b/>
          <w:bCs/>
          <w:color w:val="auto"/>
          <w:szCs w:val="24"/>
          <w:highlight w:val="none"/>
          <w:lang w:val="en-US" w:eastAsia="zh-CN"/>
        </w:rPr>
        <w:t>2025年2月19日15:00</w:t>
      </w:r>
      <w:r>
        <w:rPr>
          <w:rFonts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。</w:t>
      </w:r>
    </w:p>
    <w:p w14:paraId="19B32979">
      <w:pPr>
        <w:pStyle w:val="6"/>
        <w:shd w:val="clear"/>
        <w:wordWrap w:val="0"/>
        <w:spacing w:beforeAutospacing="0" w:afterAutospacing="0" w:line="570" w:lineRule="exact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　　2、地点：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福建省泉州市泉港区南山中路17号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Cs w:val="24"/>
          <w:highlight w:val="none"/>
          <w:lang w:eastAsia="zh-CN"/>
        </w:rPr>
        <w:t>福建省湄洲湾港口发展中心主楼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Cs w:val="24"/>
          <w:highlight w:val="none"/>
          <w:lang w:val="en-US" w:eastAsia="zh-CN"/>
        </w:rPr>
        <w:t>8楼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会议室</w:t>
      </w:r>
      <w:r>
        <w:rPr>
          <w:rFonts w:asciiTheme="minorEastAsia" w:hAnsiTheme="minorEastAsia" w:eastAsiaTheme="minorEastAsia" w:cstheme="minorEastAsia"/>
          <w:color w:val="auto"/>
          <w:kern w:val="2"/>
          <w:szCs w:val="24"/>
          <w:highlight w:val="none"/>
        </w:rPr>
        <w:t>。</w:t>
      </w:r>
      <w:bookmarkStart w:id="2" w:name="_GoBack"/>
      <w:bookmarkEnd w:id="2"/>
    </w:p>
    <w:p w14:paraId="7A0B36C2">
      <w:pPr>
        <w:widowControl w:val="0"/>
        <w:shd w:val="clear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附件：</w:t>
      </w:r>
    </w:p>
    <w:p w14:paraId="4FFB8084">
      <w:pPr>
        <w:widowControl w:val="0"/>
        <w:shd w:val="clear"/>
        <w:spacing w:after="0" w:line="570" w:lineRule="exact"/>
        <w:ind w:firstLine="1200" w:firstLineChars="5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eastAsia="zh-CN"/>
        </w:rPr>
        <w:t>基于两个发明专利的数智港口关键技术可行性研究暨初步设计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服务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</w:rPr>
        <w:t>参选报价单</w:t>
      </w:r>
    </w:p>
    <w:p w14:paraId="7AA272A0">
      <w:pPr>
        <w:widowControl w:val="0"/>
        <w:shd w:val="clear"/>
        <w:spacing w:after="0" w:line="570" w:lineRule="exact"/>
        <w:ind w:firstLine="1200" w:firstLineChars="500"/>
        <w:jc w:val="both"/>
        <w:outlineLvl w:val="0"/>
        <w:rPr>
          <w:rFonts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2.参加采购活动前三年内在经营活动中没有重大违法记录书面声明</w:t>
      </w:r>
    </w:p>
    <w:p w14:paraId="668591CF">
      <w:pPr>
        <w:shd w:val="solid" w:color="FFFFFF"/>
        <w:autoSpaceDN w:val="0"/>
        <w:spacing w:before="75" w:after="75" w:line="360" w:lineRule="auto"/>
        <w:rPr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>件1</w:t>
      </w:r>
      <w:r>
        <w:rPr>
          <w:color w:val="auto"/>
          <w:highlight w:val="none"/>
        </w:rPr>
        <w:t xml:space="preserve"> </w:t>
      </w:r>
    </w:p>
    <w:tbl>
      <w:tblPr>
        <w:tblStyle w:val="9"/>
        <w:tblW w:w="9666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47"/>
        <w:gridCol w:w="2551"/>
        <w:gridCol w:w="2268"/>
      </w:tblGrid>
      <w:tr w14:paraId="0384F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62ED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2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2"/>
                <w:highlight w:val="none"/>
                <w:lang w:eastAsia="zh-CN"/>
              </w:rPr>
              <w:t>基于两个发明专利的数智港口关键技术可行性研究暨初步设计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2"/>
                <w:highlight w:val="none"/>
              </w:rPr>
              <w:t>服务参选报价单</w:t>
            </w:r>
          </w:p>
        </w:tc>
      </w:tr>
      <w:tr w14:paraId="0386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6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686275">
            <w:pPr>
              <w:shd w:val="clear"/>
              <w:adjustRightInd/>
              <w:snapToGrid/>
              <w:spacing w:after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单位：人民币元</w:t>
            </w:r>
          </w:p>
        </w:tc>
      </w:tr>
      <w:tr w14:paraId="1EC8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CB79DB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A48C5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1A71AB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413D4F0">
            <w:pPr>
              <w:shd w:val="clear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E4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25C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59E0">
            <w:pPr>
              <w:shd w:val="clear"/>
              <w:adjustRightInd/>
              <w:snapToGrid/>
              <w:spacing w:after="0"/>
              <w:jc w:val="center"/>
              <w:rPr>
                <w:color w:val="auto"/>
                <w:highlight w:val="none"/>
              </w:rPr>
            </w:pPr>
          </w:p>
          <w:p w14:paraId="6D345DEE">
            <w:pPr>
              <w:pStyle w:val="2"/>
              <w:shd w:val="clea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sz w:val="24"/>
                <w:szCs w:val="22"/>
                <w:highlight w:val="none"/>
                <w:lang w:val="en-US" w:eastAsia="zh-CN" w:bidi="ar-SA"/>
              </w:rPr>
              <w:t>基于两个发明专利的数智港口关键技术可行性研究暨初步设计</w:t>
            </w:r>
            <w:r>
              <w:rPr>
                <w:rFonts w:hint="eastAsia" w:ascii="宋体" w:hAnsi="宋体" w:eastAsia="微软雅黑" w:cstheme="minorBidi"/>
                <w:color w:val="auto"/>
                <w:sz w:val="24"/>
                <w:szCs w:val="22"/>
                <w:highlight w:val="none"/>
                <w:lang w:val="en-US" w:eastAsia="zh-CN" w:bidi="ar-SA"/>
              </w:rPr>
              <w:t>服务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18A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1843">
            <w:pPr>
              <w:shd w:val="clear"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D74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294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1A55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A9E6">
            <w:pPr>
              <w:shd w:val="clear"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781047">
      <w:pPr>
        <w:shd w:val="clear"/>
        <w:rPr>
          <w:color w:val="auto"/>
          <w:highlight w:val="none"/>
        </w:rPr>
      </w:pPr>
    </w:p>
    <w:p w14:paraId="617D3B61">
      <w:pPr>
        <w:shd w:val="clear"/>
        <w:spacing w:after="0"/>
        <w:rPr>
          <w:rFonts w:ascii="宋体" w:hAnsi="宋体" w:eastAsia="宋体" w:cs="宋体"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 xml:space="preserve">联系人：       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>联系电话：</w:t>
      </w:r>
    </w:p>
    <w:p w14:paraId="7EE7DC3E">
      <w:pPr>
        <w:pStyle w:val="2"/>
        <w:shd w:val="clear"/>
        <w:rPr>
          <w:rFonts w:hint="default"/>
          <w:color w:val="auto"/>
          <w:highlight w:val="none"/>
        </w:rPr>
      </w:pPr>
    </w:p>
    <w:p w14:paraId="463BEFF4">
      <w:pPr>
        <w:shd w:val="clea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                                            </w:t>
      </w:r>
    </w:p>
    <w:p w14:paraId="0FA15863">
      <w:pPr>
        <w:shd w:val="clear"/>
        <w:rPr>
          <w:rFonts w:hint="eastAsia"/>
          <w:color w:val="auto"/>
          <w:highlight w:val="none"/>
        </w:rPr>
      </w:pPr>
    </w:p>
    <w:p w14:paraId="55A71D1A">
      <w:pPr>
        <w:shd w:val="clear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>供应商名称（加盖公章）：</w:t>
      </w:r>
    </w:p>
    <w:p w14:paraId="03EFAB07">
      <w:pPr>
        <w:pStyle w:val="2"/>
        <w:shd w:val="clear"/>
        <w:rPr>
          <w:rFonts w:hint="default"/>
          <w:color w:val="auto"/>
          <w:highlight w:val="none"/>
        </w:rPr>
      </w:pPr>
      <w:r>
        <w:rPr>
          <w:color w:val="auto"/>
          <w:highlight w:val="none"/>
        </w:rPr>
        <w:t xml:space="preserve">                                             </w:t>
      </w:r>
    </w:p>
    <w:p w14:paraId="01208A68">
      <w:pPr>
        <w:shd w:val="clear"/>
        <w:spacing w:after="0"/>
        <w:rPr>
          <w:rFonts w:ascii="宋体" w:hAnsi="宋体" w:eastAsia="宋体" w:cs="宋体"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 xml:space="preserve">         </w:t>
      </w:r>
    </w:p>
    <w:p w14:paraId="69953801">
      <w:pPr>
        <w:shd w:val="clear"/>
        <w:rPr>
          <w:rFonts w:hint="eastAsia"/>
          <w:color w:val="auto"/>
          <w:highlight w:val="none"/>
        </w:rPr>
      </w:pPr>
    </w:p>
    <w:p w14:paraId="21ED5AE9">
      <w:pPr>
        <w:pStyle w:val="2"/>
        <w:shd w:val="clear"/>
        <w:rPr>
          <w:color w:val="auto"/>
          <w:highlight w:val="none"/>
        </w:rPr>
      </w:pPr>
    </w:p>
    <w:p w14:paraId="5030981C">
      <w:pPr>
        <w:shd w:val="clear"/>
        <w:rPr>
          <w:rFonts w:hint="eastAsia"/>
          <w:color w:val="auto"/>
          <w:highlight w:val="none"/>
        </w:rPr>
      </w:pPr>
    </w:p>
    <w:p w14:paraId="2C2817BB">
      <w:pPr>
        <w:pStyle w:val="2"/>
        <w:shd w:val="clear"/>
        <w:rPr>
          <w:color w:val="auto"/>
          <w:highlight w:val="none"/>
        </w:rPr>
      </w:pPr>
    </w:p>
    <w:p w14:paraId="66C05B75">
      <w:pPr>
        <w:shd w:val="clear"/>
        <w:rPr>
          <w:rFonts w:hint="eastAsia"/>
          <w:color w:val="auto"/>
          <w:highlight w:val="none"/>
        </w:rPr>
      </w:pPr>
    </w:p>
    <w:p w14:paraId="254BF634">
      <w:pPr>
        <w:pStyle w:val="2"/>
        <w:rPr>
          <w:rFonts w:hint="eastAsia"/>
          <w:color w:val="auto"/>
          <w:highlight w:val="none"/>
        </w:rPr>
      </w:pPr>
    </w:p>
    <w:p w14:paraId="4D7F03AF">
      <w:pPr>
        <w:rPr>
          <w:rFonts w:hint="eastAsia"/>
          <w:color w:val="auto"/>
          <w:highlight w:val="none"/>
        </w:rPr>
      </w:pPr>
    </w:p>
    <w:p w14:paraId="2DBF4CC6">
      <w:pPr>
        <w:pStyle w:val="2"/>
        <w:rPr>
          <w:rFonts w:hint="eastAsia"/>
          <w:color w:val="auto"/>
          <w:highlight w:val="none"/>
        </w:rPr>
      </w:pPr>
    </w:p>
    <w:p w14:paraId="09CB270A">
      <w:pPr>
        <w:rPr>
          <w:rFonts w:hint="eastAsia"/>
          <w:color w:val="auto"/>
          <w:highlight w:val="none"/>
        </w:rPr>
      </w:pPr>
    </w:p>
    <w:p w14:paraId="2FE90351">
      <w:pPr>
        <w:pStyle w:val="2"/>
        <w:rPr>
          <w:rFonts w:hint="eastAsia"/>
          <w:color w:val="auto"/>
          <w:highlight w:val="none"/>
        </w:rPr>
      </w:pPr>
    </w:p>
    <w:p w14:paraId="6206F549">
      <w:pPr>
        <w:rPr>
          <w:rFonts w:hint="eastAsia"/>
          <w:color w:val="auto"/>
          <w:highlight w:val="none"/>
        </w:rPr>
      </w:pPr>
    </w:p>
    <w:p w14:paraId="53A3BF31">
      <w:pPr>
        <w:pStyle w:val="2"/>
        <w:shd w:val="clear"/>
        <w:rPr>
          <w:color w:val="auto"/>
          <w:highlight w:val="none"/>
        </w:rPr>
      </w:pPr>
    </w:p>
    <w:p w14:paraId="2C9009E0">
      <w:pPr>
        <w:shd w:val="solid" w:color="FFFFFF"/>
        <w:autoSpaceDN w:val="0"/>
        <w:spacing w:before="75" w:after="75" w:line="400" w:lineRule="exact"/>
        <w:rPr>
          <w:rFonts w:ascii="宋体" w:hAnsi="宋体" w:eastAsia="宋体" w:cs="宋体"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shd w:val="clear" w:color="auto" w:fill="FFFFFF"/>
        </w:rPr>
        <w:t>附件2</w:t>
      </w:r>
    </w:p>
    <w:p w14:paraId="070FEA0F">
      <w:pPr>
        <w:shd w:val="solid" w:color="FFFFFF"/>
        <w:autoSpaceDN w:val="0"/>
        <w:spacing w:before="75" w:after="75" w:line="400" w:lineRule="exact"/>
        <w:jc w:val="center"/>
        <w:rPr>
          <w:rFonts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shd w:val="clear" w:color="auto" w:fill="FFFFFF"/>
        </w:rPr>
        <w:t>参加采购活动前三年内在经营活动中没有重大违法记录书面声明</w:t>
      </w:r>
    </w:p>
    <w:p w14:paraId="68E4FFDE">
      <w:pPr>
        <w:shd w:val="solid" w:color="FFFFFF"/>
        <w:autoSpaceDN w:val="0"/>
        <w:spacing w:before="75" w:after="75" w:line="44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致：                     </w:t>
      </w:r>
    </w:p>
    <w:p w14:paraId="66578957">
      <w:pPr>
        <w:shd w:val="solid" w:color="FFFFFF"/>
        <w:autoSpaceDN w:val="0"/>
        <w:spacing w:before="75" w:after="75" w:line="440" w:lineRule="exact"/>
        <w:ind w:firstLine="42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参加采购活动前三年内，我方在经营活动中没有重大违法记录，也无行贿犯罪记录。</w:t>
      </w:r>
    </w:p>
    <w:p w14:paraId="42E9460E">
      <w:pPr>
        <w:shd w:val="solid" w:color="FFFFFF"/>
        <w:autoSpaceDN w:val="0"/>
        <w:spacing w:before="75" w:after="75" w:line="440" w:lineRule="exact"/>
        <w:ind w:firstLine="42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特此声明。</w:t>
      </w:r>
    </w:p>
    <w:p w14:paraId="422480D7">
      <w:pPr>
        <w:shd w:val="solid" w:color="FFFFFF"/>
        <w:autoSpaceDN w:val="0"/>
        <w:spacing w:before="75" w:after="75" w:line="44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★注意：</w:t>
      </w:r>
    </w:p>
    <w:p w14:paraId="0DC9B97A">
      <w:pPr>
        <w:shd w:val="solid" w:color="FFFFFF"/>
        <w:autoSpaceDN w:val="0"/>
        <w:spacing w:beforeAutospacing="1" w:afterAutospacing="1" w:line="44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1、“重大违法记录”指停产停业、吊销许可证或执照、较大供应商因违法经营受到刑事处罚或责令数额罚款等行政处罚。</w:t>
      </w:r>
    </w:p>
    <w:p w14:paraId="447068F5">
      <w:pPr>
        <w:shd w:val="solid" w:color="FFFFFF"/>
        <w:autoSpaceDN w:val="0"/>
        <w:spacing w:beforeAutospacing="1" w:afterAutospacing="1" w:line="44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2、本声明应为原件。</w:t>
      </w:r>
    </w:p>
    <w:p w14:paraId="464B12F9">
      <w:pPr>
        <w:shd w:val="solid" w:color="FFFFFF"/>
        <w:autoSpaceDN w:val="0"/>
        <w:spacing w:beforeAutospacing="1" w:afterAutospacing="1" w:line="44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3、请供应商根据实际情况如实声明，否则视为提供虚假材料。</w:t>
      </w:r>
    </w:p>
    <w:p w14:paraId="1AD7C29B">
      <w:pPr>
        <w:pStyle w:val="2"/>
        <w:shd w:val="clear"/>
        <w:rPr>
          <w:color w:val="auto"/>
          <w:highlight w:val="none"/>
        </w:rPr>
      </w:pPr>
    </w:p>
    <w:p w14:paraId="3FA8EE3A">
      <w:pPr>
        <w:shd w:val="clear"/>
        <w:rPr>
          <w:color w:val="auto"/>
          <w:highlight w:val="none"/>
        </w:rPr>
      </w:pPr>
    </w:p>
    <w:p w14:paraId="330182D3">
      <w:pPr>
        <w:shd w:val="solid" w:color="FFFFFF"/>
        <w:autoSpaceDN w:val="0"/>
        <w:spacing w:before="75" w:after="75" w:line="440" w:lineRule="exact"/>
        <w:ind w:firstLine="5280" w:firstLineChars="2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供应商：（全称并加盖单位公章）</w:t>
      </w:r>
    </w:p>
    <w:p w14:paraId="7CBF45E2">
      <w:pPr>
        <w:shd w:val="solid" w:color="FFFFFF"/>
        <w:autoSpaceDN w:val="0"/>
        <w:spacing w:before="75" w:after="75" w:line="440" w:lineRule="exact"/>
        <w:ind w:firstLine="5280" w:firstLineChars="2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供应商代表签字：                   </w:t>
      </w:r>
    </w:p>
    <w:p w14:paraId="1F8B91B1">
      <w:pPr>
        <w:shd w:val="solid" w:color="FFFFFF"/>
        <w:autoSpaceDN w:val="0"/>
        <w:spacing w:before="75" w:after="75" w:line="440" w:lineRule="exact"/>
        <w:ind w:firstLine="5280" w:firstLineChars="2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年   月   </w:t>
      </w:r>
    </w:p>
    <w:p w14:paraId="04DA0142">
      <w:pPr>
        <w:shd w:val="clear"/>
        <w:rPr>
          <w:color w:val="auto"/>
          <w:highlight w:val="none"/>
        </w:rPr>
      </w:pPr>
    </w:p>
    <w:p w14:paraId="0EFA8681">
      <w:pPr>
        <w:shd w:val="clear"/>
        <w:rPr>
          <w:color w:val="auto"/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720" w:right="720" w:bottom="720" w:left="720" w:header="708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58498"/>
      <w:docPartObj>
        <w:docPartGallery w:val="autotext"/>
      </w:docPartObj>
    </w:sdtPr>
    <w:sdtContent>
      <w:p w14:paraId="5135A64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759ADD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E331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F7B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F2DD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34F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287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ZWYyOTQ3NDg5MzViNWNjZjIyYjY1YTY1NWMzOWMifQ=="/>
  </w:docVars>
  <w:rsids>
    <w:rsidRoot w:val="00D31D50"/>
    <w:rsid w:val="000076C4"/>
    <w:rsid w:val="00014572"/>
    <w:rsid w:val="0001486E"/>
    <w:rsid w:val="000267F5"/>
    <w:rsid w:val="00026901"/>
    <w:rsid w:val="000306C4"/>
    <w:rsid w:val="00054604"/>
    <w:rsid w:val="000578AE"/>
    <w:rsid w:val="00062769"/>
    <w:rsid w:val="0009198E"/>
    <w:rsid w:val="00092B59"/>
    <w:rsid w:val="000A1573"/>
    <w:rsid w:val="000A2777"/>
    <w:rsid w:val="000B0DE3"/>
    <w:rsid w:val="000B1585"/>
    <w:rsid w:val="000C2ECC"/>
    <w:rsid w:val="000C615E"/>
    <w:rsid w:val="000E2E2B"/>
    <w:rsid w:val="000E2FBE"/>
    <w:rsid w:val="000E309F"/>
    <w:rsid w:val="000E3E05"/>
    <w:rsid w:val="000F22E8"/>
    <w:rsid w:val="000F7575"/>
    <w:rsid w:val="000F7666"/>
    <w:rsid w:val="00117F7D"/>
    <w:rsid w:val="00125C55"/>
    <w:rsid w:val="001307E0"/>
    <w:rsid w:val="00141217"/>
    <w:rsid w:val="001446E3"/>
    <w:rsid w:val="00150C37"/>
    <w:rsid w:val="00153A07"/>
    <w:rsid w:val="00157350"/>
    <w:rsid w:val="00173349"/>
    <w:rsid w:val="00177B9D"/>
    <w:rsid w:val="00181559"/>
    <w:rsid w:val="0018559C"/>
    <w:rsid w:val="001859C9"/>
    <w:rsid w:val="001865FD"/>
    <w:rsid w:val="001907D6"/>
    <w:rsid w:val="001A1B6A"/>
    <w:rsid w:val="001A5A7B"/>
    <w:rsid w:val="001B1771"/>
    <w:rsid w:val="001B463B"/>
    <w:rsid w:val="001B73FE"/>
    <w:rsid w:val="001C0528"/>
    <w:rsid w:val="001E2424"/>
    <w:rsid w:val="001E46FD"/>
    <w:rsid w:val="001E69C4"/>
    <w:rsid w:val="001F5834"/>
    <w:rsid w:val="00216BB4"/>
    <w:rsid w:val="0022081D"/>
    <w:rsid w:val="00232EC2"/>
    <w:rsid w:val="0024202C"/>
    <w:rsid w:val="002528B2"/>
    <w:rsid w:val="0026497C"/>
    <w:rsid w:val="00264F51"/>
    <w:rsid w:val="002650F0"/>
    <w:rsid w:val="0027182E"/>
    <w:rsid w:val="00276154"/>
    <w:rsid w:val="002857B3"/>
    <w:rsid w:val="00290048"/>
    <w:rsid w:val="00294A8A"/>
    <w:rsid w:val="00297F5A"/>
    <w:rsid w:val="002A0C09"/>
    <w:rsid w:val="002A40D0"/>
    <w:rsid w:val="002B3085"/>
    <w:rsid w:val="002B62DA"/>
    <w:rsid w:val="002C3CE0"/>
    <w:rsid w:val="002C6C5B"/>
    <w:rsid w:val="002D7211"/>
    <w:rsid w:val="002E1129"/>
    <w:rsid w:val="002F5DAA"/>
    <w:rsid w:val="003036D2"/>
    <w:rsid w:val="003041E7"/>
    <w:rsid w:val="003045A6"/>
    <w:rsid w:val="00305B2C"/>
    <w:rsid w:val="00314091"/>
    <w:rsid w:val="003204C4"/>
    <w:rsid w:val="003237C5"/>
    <w:rsid w:val="00323B43"/>
    <w:rsid w:val="00336EB5"/>
    <w:rsid w:val="00340BCE"/>
    <w:rsid w:val="0035354A"/>
    <w:rsid w:val="00356CA7"/>
    <w:rsid w:val="003577FE"/>
    <w:rsid w:val="00360E48"/>
    <w:rsid w:val="00360ED8"/>
    <w:rsid w:val="00361E95"/>
    <w:rsid w:val="003820B2"/>
    <w:rsid w:val="003B52D6"/>
    <w:rsid w:val="003B757B"/>
    <w:rsid w:val="003C09DD"/>
    <w:rsid w:val="003C207C"/>
    <w:rsid w:val="003D37D8"/>
    <w:rsid w:val="003E432C"/>
    <w:rsid w:val="003E49E5"/>
    <w:rsid w:val="00400C36"/>
    <w:rsid w:val="00401A00"/>
    <w:rsid w:val="00402639"/>
    <w:rsid w:val="00405B1E"/>
    <w:rsid w:val="00407621"/>
    <w:rsid w:val="004104CA"/>
    <w:rsid w:val="00411BF0"/>
    <w:rsid w:val="004159EB"/>
    <w:rsid w:val="004208FF"/>
    <w:rsid w:val="00426133"/>
    <w:rsid w:val="00434DF2"/>
    <w:rsid w:val="004358AB"/>
    <w:rsid w:val="00445B9B"/>
    <w:rsid w:val="00463FCB"/>
    <w:rsid w:val="00472D53"/>
    <w:rsid w:val="004815FA"/>
    <w:rsid w:val="004850E9"/>
    <w:rsid w:val="0049259C"/>
    <w:rsid w:val="004A75C9"/>
    <w:rsid w:val="004B6939"/>
    <w:rsid w:val="004C4A20"/>
    <w:rsid w:val="004C6E4E"/>
    <w:rsid w:val="004F6FF2"/>
    <w:rsid w:val="005142B3"/>
    <w:rsid w:val="00531E30"/>
    <w:rsid w:val="00531E75"/>
    <w:rsid w:val="0054464A"/>
    <w:rsid w:val="005547F5"/>
    <w:rsid w:val="00571552"/>
    <w:rsid w:val="00577305"/>
    <w:rsid w:val="005810DE"/>
    <w:rsid w:val="005B4B1B"/>
    <w:rsid w:val="005C14C7"/>
    <w:rsid w:val="005C5F4C"/>
    <w:rsid w:val="005D29EF"/>
    <w:rsid w:val="005D4456"/>
    <w:rsid w:val="005D666D"/>
    <w:rsid w:val="005F1C24"/>
    <w:rsid w:val="005F3708"/>
    <w:rsid w:val="00600ED2"/>
    <w:rsid w:val="00606E57"/>
    <w:rsid w:val="00607BFC"/>
    <w:rsid w:val="0061187A"/>
    <w:rsid w:val="00622C85"/>
    <w:rsid w:val="00630A3E"/>
    <w:rsid w:val="00645E6C"/>
    <w:rsid w:val="00660C23"/>
    <w:rsid w:val="006725EC"/>
    <w:rsid w:val="00692BD1"/>
    <w:rsid w:val="006936F7"/>
    <w:rsid w:val="006A0ACA"/>
    <w:rsid w:val="006B1CD9"/>
    <w:rsid w:val="006B7581"/>
    <w:rsid w:val="006C1BFE"/>
    <w:rsid w:val="006C2109"/>
    <w:rsid w:val="006E1D53"/>
    <w:rsid w:val="006E401C"/>
    <w:rsid w:val="006E59E2"/>
    <w:rsid w:val="00700084"/>
    <w:rsid w:val="007069A0"/>
    <w:rsid w:val="00736D94"/>
    <w:rsid w:val="007372E5"/>
    <w:rsid w:val="007401F3"/>
    <w:rsid w:val="0074048A"/>
    <w:rsid w:val="00740E9B"/>
    <w:rsid w:val="007473C1"/>
    <w:rsid w:val="00754696"/>
    <w:rsid w:val="00755D43"/>
    <w:rsid w:val="007866A6"/>
    <w:rsid w:val="00786AB0"/>
    <w:rsid w:val="00787096"/>
    <w:rsid w:val="007A294F"/>
    <w:rsid w:val="007C789B"/>
    <w:rsid w:val="007E23D8"/>
    <w:rsid w:val="007E728A"/>
    <w:rsid w:val="007F1AD3"/>
    <w:rsid w:val="0080052F"/>
    <w:rsid w:val="00813086"/>
    <w:rsid w:val="0083251F"/>
    <w:rsid w:val="00842242"/>
    <w:rsid w:val="00844B7C"/>
    <w:rsid w:val="00852057"/>
    <w:rsid w:val="008524D6"/>
    <w:rsid w:val="008561FA"/>
    <w:rsid w:val="008605C8"/>
    <w:rsid w:val="00862564"/>
    <w:rsid w:val="00870C6B"/>
    <w:rsid w:val="008A268D"/>
    <w:rsid w:val="008B7726"/>
    <w:rsid w:val="008C6596"/>
    <w:rsid w:val="008D0E03"/>
    <w:rsid w:val="008E2DE0"/>
    <w:rsid w:val="008F033D"/>
    <w:rsid w:val="008F5952"/>
    <w:rsid w:val="008F76DF"/>
    <w:rsid w:val="0091663C"/>
    <w:rsid w:val="00924B7C"/>
    <w:rsid w:val="00947CC8"/>
    <w:rsid w:val="0095454C"/>
    <w:rsid w:val="00970302"/>
    <w:rsid w:val="00976EFF"/>
    <w:rsid w:val="009C09AA"/>
    <w:rsid w:val="009C6DDA"/>
    <w:rsid w:val="009C6E93"/>
    <w:rsid w:val="009D3B0C"/>
    <w:rsid w:val="009E7EBB"/>
    <w:rsid w:val="00A25F9F"/>
    <w:rsid w:val="00A4512D"/>
    <w:rsid w:val="00A46836"/>
    <w:rsid w:val="00A627E5"/>
    <w:rsid w:val="00A70E85"/>
    <w:rsid w:val="00A733F3"/>
    <w:rsid w:val="00A77A4D"/>
    <w:rsid w:val="00A82250"/>
    <w:rsid w:val="00A93B04"/>
    <w:rsid w:val="00A9593B"/>
    <w:rsid w:val="00AA763B"/>
    <w:rsid w:val="00AB5316"/>
    <w:rsid w:val="00AB6FD3"/>
    <w:rsid w:val="00AC693E"/>
    <w:rsid w:val="00AE64D5"/>
    <w:rsid w:val="00B00A37"/>
    <w:rsid w:val="00B01CFB"/>
    <w:rsid w:val="00B022F1"/>
    <w:rsid w:val="00B258E0"/>
    <w:rsid w:val="00B5515D"/>
    <w:rsid w:val="00B637C2"/>
    <w:rsid w:val="00B63BA2"/>
    <w:rsid w:val="00B63D4D"/>
    <w:rsid w:val="00B65F7F"/>
    <w:rsid w:val="00B816EC"/>
    <w:rsid w:val="00B830A9"/>
    <w:rsid w:val="00B94443"/>
    <w:rsid w:val="00BA0247"/>
    <w:rsid w:val="00BC02C3"/>
    <w:rsid w:val="00BC1786"/>
    <w:rsid w:val="00BC3915"/>
    <w:rsid w:val="00BC3BD4"/>
    <w:rsid w:val="00BD04F4"/>
    <w:rsid w:val="00BD5894"/>
    <w:rsid w:val="00BD7B96"/>
    <w:rsid w:val="00BE519A"/>
    <w:rsid w:val="00BF5121"/>
    <w:rsid w:val="00C056B3"/>
    <w:rsid w:val="00C05AF7"/>
    <w:rsid w:val="00C125FB"/>
    <w:rsid w:val="00C15730"/>
    <w:rsid w:val="00C15932"/>
    <w:rsid w:val="00C2054F"/>
    <w:rsid w:val="00C23C26"/>
    <w:rsid w:val="00C33F60"/>
    <w:rsid w:val="00C56721"/>
    <w:rsid w:val="00C71A1C"/>
    <w:rsid w:val="00C7334C"/>
    <w:rsid w:val="00C94B6D"/>
    <w:rsid w:val="00C97538"/>
    <w:rsid w:val="00CB1646"/>
    <w:rsid w:val="00CB24A1"/>
    <w:rsid w:val="00CC1D21"/>
    <w:rsid w:val="00CC5443"/>
    <w:rsid w:val="00CC60D8"/>
    <w:rsid w:val="00CC6E97"/>
    <w:rsid w:val="00CD6D28"/>
    <w:rsid w:val="00CE432D"/>
    <w:rsid w:val="00CF2482"/>
    <w:rsid w:val="00CF3973"/>
    <w:rsid w:val="00D0428F"/>
    <w:rsid w:val="00D0728B"/>
    <w:rsid w:val="00D14EB0"/>
    <w:rsid w:val="00D15A4E"/>
    <w:rsid w:val="00D262BB"/>
    <w:rsid w:val="00D31D50"/>
    <w:rsid w:val="00D33EAB"/>
    <w:rsid w:val="00D45EF2"/>
    <w:rsid w:val="00D5645D"/>
    <w:rsid w:val="00D61D31"/>
    <w:rsid w:val="00D916F0"/>
    <w:rsid w:val="00D93B30"/>
    <w:rsid w:val="00DA3225"/>
    <w:rsid w:val="00DA6858"/>
    <w:rsid w:val="00DB0465"/>
    <w:rsid w:val="00DC7B0B"/>
    <w:rsid w:val="00DD7BEF"/>
    <w:rsid w:val="00DE1553"/>
    <w:rsid w:val="00DE65D4"/>
    <w:rsid w:val="00E028AF"/>
    <w:rsid w:val="00E036EF"/>
    <w:rsid w:val="00E07B9E"/>
    <w:rsid w:val="00E11C76"/>
    <w:rsid w:val="00E16B04"/>
    <w:rsid w:val="00E21DDA"/>
    <w:rsid w:val="00E24CEF"/>
    <w:rsid w:val="00E450E2"/>
    <w:rsid w:val="00E4643F"/>
    <w:rsid w:val="00E50008"/>
    <w:rsid w:val="00E949CF"/>
    <w:rsid w:val="00E95D8A"/>
    <w:rsid w:val="00E9769E"/>
    <w:rsid w:val="00E97CDC"/>
    <w:rsid w:val="00EB14A1"/>
    <w:rsid w:val="00EB524C"/>
    <w:rsid w:val="00EB5F23"/>
    <w:rsid w:val="00EC2271"/>
    <w:rsid w:val="00EC3D26"/>
    <w:rsid w:val="00EC432C"/>
    <w:rsid w:val="00ED6AA2"/>
    <w:rsid w:val="00EF00E6"/>
    <w:rsid w:val="00F02E2C"/>
    <w:rsid w:val="00F10532"/>
    <w:rsid w:val="00F33043"/>
    <w:rsid w:val="00F37F29"/>
    <w:rsid w:val="00F530C7"/>
    <w:rsid w:val="00F63BC7"/>
    <w:rsid w:val="00F70812"/>
    <w:rsid w:val="00FA5D4A"/>
    <w:rsid w:val="00FD1650"/>
    <w:rsid w:val="00FF1F93"/>
    <w:rsid w:val="00FF3171"/>
    <w:rsid w:val="00FF7E4C"/>
    <w:rsid w:val="01950FCA"/>
    <w:rsid w:val="02B01361"/>
    <w:rsid w:val="058608ED"/>
    <w:rsid w:val="05BD3C44"/>
    <w:rsid w:val="06CA1C85"/>
    <w:rsid w:val="08406CE4"/>
    <w:rsid w:val="08431A3B"/>
    <w:rsid w:val="08AA5898"/>
    <w:rsid w:val="09A11527"/>
    <w:rsid w:val="0A2A163C"/>
    <w:rsid w:val="0ACF33A9"/>
    <w:rsid w:val="0B15477B"/>
    <w:rsid w:val="0C2F4837"/>
    <w:rsid w:val="0D3C3E65"/>
    <w:rsid w:val="0DED346A"/>
    <w:rsid w:val="0E36644A"/>
    <w:rsid w:val="108A7538"/>
    <w:rsid w:val="10CD7582"/>
    <w:rsid w:val="11AE5258"/>
    <w:rsid w:val="123F625E"/>
    <w:rsid w:val="12464F87"/>
    <w:rsid w:val="126A5D2A"/>
    <w:rsid w:val="13806B2E"/>
    <w:rsid w:val="13D26146"/>
    <w:rsid w:val="152A3B5E"/>
    <w:rsid w:val="169F7E67"/>
    <w:rsid w:val="16E02243"/>
    <w:rsid w:val="1704567A"/>
    <w:rsid w:val="188C41B4"/>
    <w:rsid w:val="1956138C"/>
    <w:rsid w:val="19F05CA7"/>
    <w:rsid w:val="1C5B3C94"/>
    <w:rsid w:val="1D457C27"/>
    <w:rsid w:val="1DE64D99"/>
    <w:rsid w:val="1F6F35DC"/>
    <w:rsid w:val="1FF1373D"/>
    <w:rsid w:val="211F01FC"/>
    <w:rsid w:val="22274D44"/>
    <w:rsid w:val="2392538B"/>
    <w:rsid w:val="23A42564"/>
    <w:rsid w:val="243479EB"/>
    <w:rsid w:val="24422790"/>
    <w:rsid w:val="24752289"/>
    <w:rsid w:val="2A746FBB"/>
    <w:rsid w:val="2A7C7087"/>
    <w:rsid w:val="2B810A88"/>
    <w:rsid w:val="2C267E9E"/>
    <w:rsid w:val="2C300C99"/>
    <w:rsid w:val="2DA3118B"/>
    <w:rsid w:val="2F8556B6"/>
    <w:rsid w:val="2F950E14"/>
    <w:rsid w:val="31CD6D3E"/>
    <w:rsid w:val="31F11479"/>
    <w:rsid w:val="330E1D72"/>
    <w:rsid w:val="337F42B4"/>
    <w:rsid w:val="35AC585D"/>
    <w:rsid w:val="3676374D"/>
    <w:rsid w:val="380A40AF"/>
    <w:rsid w:val="38582ED0"/>
    <w:rsid w:val="387737AC"/>
    <w:rsid w:val="3883188D"/>
    <w:rsid w:val="3A3064DA"/>
    <w:rsid w:val="3C624D6E"/>
    <w:rsid w:val="3C6C71E3"/>
    <w:rsid w:val="3C747412"/>
    <w:rsid w:val="3CCF005B"/>
    <w:rsid w:val="3DA43295"/>
    <w:rsid w:val="3EA33702"/>
    <w:rsid w:val="3EC51715"/>
    <w:rsid w:val="3F0A7F2D"/>
    <w:rsid w:val="3F4940F4"/>
    <w:rsid w:val="3FA95343"/>
    <w:rsid w:val="3FFB4CC3"/>
    <w:rsid w:val="404D4F9C"/>
    <w:rsid w:val="40574FDC"/>
    <w:rsid w:val="414F12C2"/>
    <w:rsid w:val="42D00689"/>
    <w:rsid w:val="439C4054"/>
    <w:rsid w:val="4431338E"/>
    <w:rsid w:val="444D49D7"/>
    <w:rsid w:val="44CF2A46"/>
    <w:rsid w:val="452D5CD9"/>
    <w:rsid w:val="464B1EA5"/>
    <w:rsid w:val="46F2217B"/>
    <w:rsid w:val="479B6CA7"/>
    <w:rsid w:val="47AC1B4A"/>
    <w:rsid w:val="48D30779"/>
    <w:rsid w:val="49771007"/>
    <w:rsid w:val="4A297EBD"/>
    <w:rsid w:val="4AFB3CF9"/>
    <w:rsid w:val="4BA6467C"/>
    <w:rsid w:val="4BA94253"/>
    <w:rsid w:val="4C403CDD"/>
    <w:rsid w:val="4D526B76"/>
    <w:rsid w:val="50B41B18"/>
    <w:rsid w:val="514979D0"/>
    <w:rsid w:val="516132A0"/>
    <w:rsid w:val="51E34EDE"/>
    <w:rsid w:val="5534338A"/>
    <w:rsid w:val="55D6351D"/>
    <w:rsid w:val="56234003"/>
    <w:rsid w:val="56C92B8B"/>
    <w:rsid w:val="572865B1"/>
    <w:rsid w:val="5AC60F05"/>
    <w:rsid w:val="5AF861BC"/>
    <w:rsid w:val="5C4A2E02"/>
    <w:rsid w:val="5C7F43A8"/>
    <w:rsid w:val="5D4569AE"/>
    <w:rsid w:val="5EA30AD3"/>
    <w:rsid w:val="5EE757E8"/>
    <w:rsid w:val="5F4B5724"/>
    <w:rsid w:val="5FEF391E"/>
    <w:rsid w:val="61EA1238"/>
    <w:rsid w:val="62901750"/>
    <w:rsid w:val="63B339D1"/>
    <w:rsid w:val="63D606CC"/>
    <w:rsid w:val="64DF08EB"/>
    <w:rsid w:val="655B1BDC"/>
    <w:rsid w:val="65644F35"/>
    <w:rsid w:val="669730E8"/>
    <w:rsid w:val="66A2724B"/>
    <w:rsid w:val="67D72012"/>
    <w:rsid w:val="68EA2684"/>
    <w:rsid w:val="6AB35DF7"/>
    <w:rsid w:val="6C2606F2"/>
    <w:rsid w:val="6D6F6355"/>
    <w:rsid w:val="6F0B2A24"/>
    <w:rsid w:val="719C1D92"/>
    <w:rsid w:val="72CD7028"/>
    <w:rsid w:val="72D06A72"/>
    <w:rsid w:val="733E6120"/>
    <w:rsid w:val="73A07A85"/>
    <w:rsid w:val="75D94E94"/>
    <w:rsid w:val="782E61C7"/>
    <w:rsid w:val="79716072"/>
    <w:rsid w:val="798318F2"/>
    <w:rsid w:val="7A0559C3"/>
    <w:rsid w:val="7A6E67A4"/>
    <w:rsid w:val="7D3C7C32"/>
    <w:rsid w:val="7EE03426"/>
    <w:rsid w:val="7F1B6839"/>
    <w:rsid w:val="7F4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8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rFonts w:ascii="Tahoma" w:hAnsi="Tahoma"/>
      <w:sz w:val="18"/>
      <w:szCs w:val="18"/>
    </w:rPr>
  </w:style>
  <w:style w:type="paragraph" w:customStyle="1" w:styleId="15">
    <w:name w:val="paragraph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2401</Words>
  <Characters>2505</Characters>
  <Lines>16</Lines>
  <Paragraphs>4</Paragraphs>
  <TotalTime>3</TotalTime>
  <ScaleCrop>false</ScaleCrop>
  <LinksUpToDate>false</LinksUpToDate>
  <CharactersWithSpaces>2723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2019-03-26T03:28:00Z</dcterms:created>
  <dc:creator>赖金水</dc:creator>
  <cp:lastModifiedBy>WPS_1689500300</cp:lastModifiedBy>
  <cp:lastPrinted>2022-09-26T08:39:00Z</cp:lastPrinted>
  <dcterms:modified xsi:type="dcterms:W3CDTF">2025-02-14T03:39:44Z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A3ACE8CC267143858FC5BBF1841ACEA8_13</vt:lpwstr>
  </property>
  <property fmtid="{D5CDD505-2E9C-101B-9397-08002B2CF9AE}" pid="4" name="KSOTemplateDocerSaveRecord">
    <vt:lpwstr>eyJoZGlkIjoiOGIwMThjNGNjZGY4YjMwZTYzM2FjYjFkMzg4YWVmYTAiLCJ1c2VySWQiOiIxNTEzNDk1MDYxIn0=</vt:lpwstr>
  </property>
</Properties>
</file>