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8A0C">
      <w:pPr>
        <w:pStyle w:val="6"/>
        <w:jc w:val="left"/>
        <w:outlineLvl w:val="1"/>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 xml:space="preserve">1        </w:t>
      </w:r>
    </w:p>
    <w:p w14:paraId="4499F77F">
      <w:pPr>
        <w:pStyle w:val="6"/>
        <w:ind w:firstLine="2650" w:firstLineChars="600"/>
        <w:jc w:val="left"/>
        <w:outlineLvl w:val="1"/>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b/>
          <w:sz w:val="44"/>
          <w:szCs w:val="44"/>
        </w:rPr>
        <w:t>采购内容及要求</w:t>
      </w:r>
      <w:bookmarkEnd w:id="1"/>
    </w:p>
    <w:p w14:paraId="697446FA">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outlineLvl w:val="2"/>
        <w:rPr>
          <w:rFonts w:hint="eastAsia" w:ascii="黑体" w:hAnsi="黑体" w:eastAsia="黑体" w:cs="黑体"/>
          <w:sz w:val="32"/>
          <w:szCs w:val="32"/>
          <w:lang w:eastAsia="zh-CN"/>
        </w:rPr>
      </w:pPr>
      <w:r>
        <w:rPr>
          <w:rFonts w:hint="eastAsia" w:ascii="黑体" w:hAnsi="黑体" w:eastAsia="黑体" w:cs="黑体"/>
          <w:b/>
          <w:sz w:val="32"/>
          <w:szCs w:val="32"/>
        </w:rPr>
        <w:t>一、</w:t>
      </w:r>
      <w:r>
        <w:rPr>
          <w:rFonts w:hint="eastAsia" w:ascii="黑体" w:hAnsi="黑体" w:eastAsia="黑体" w:cs="黑体"/>
          <w:b/>
          <w:sz w:val="32"/>
          <w:szCs w:val="32"/>
          <w:lang w:eastAsia="zh-CN"/>
        </w:rPr>
        <w:t>项目概况</w:t>
      </w:r>
    </w:p>
    <w:p w14:paraId="61D0D3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（一）项目名称：2025年度泉州港航道专项养护疏浚监理服务项目</w:t>
      </w:r>
    </w:p>
    <w:p w14:paraId="6326823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（二）项目地点：2025年度泉州港泉州湾海域采购人指定地点。</w:t>
      </w:r>
    </w:p>
    <w:p w14:paraId="592A40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项目内容：泉州港航道专项养护维护疏浚预估工程量为19.24万m³（不计超深超宽、施工期回淤和不计边坡），小坠航道疏浚至底高程-12.5m（基准面为理论最低潮面，下同），锦尚航道疏浚至-16.9m，安海湾航道上游维护范围内疏浚至底高程-8.6m。疏浚物原则上外抛至生态环境部门批准的泉州湾倾废区，或施工成交供应商自行寻找符合有关规定要求的疏浚物综合利用回填区。本次监理服务范围为上述疏浚范围内疏浚作业服务的监理（含进度、质量、安全、环保等监理）。</w:t>
      </w:r>
    </w:p>
    <w:p w14:paraId="0EC2D13C">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outlineLvl w:val="2"/>
        <w:rPr>
          <w:rFonts w:hint="eastAsia" w:ascii="黑体" w:hAnsi="黑体" w:eastAsia="黑体" w:cs="黑体"/>
          <w:b/>
          <w:sz w:val="32"/>
          <w:szCs w:val="32"/>
        </w:rPr>
      </w:pPr>
      <w:r>
        <w:rPr>
          <w:rFonts w:hint="eastAsia" w:ascii="黑体" w:hAnsi="黑体" w:eastAsia="黑体" w:cs="黑体"/>
          <w:b/>
          <w:sz w:val="32"/>
          <w:szCs w:val="32"/>
          <w:lang w:val="en-US" w:eastAsia="zh-CN"/>
        </w:rPr>
        <w:t>二、</w:t>
      </w:r>
      <w:r>
        <w:rPr>
          <w:rFonts w:hint="eastAsia" w:ascii="黑体" w:hAnsi="黑体" w:eastAsia="黑体" w:cs="黑体"/>
          <w:b/>
          <w:sz w:val="32"/>
          <w:szCs w:val="32"/>
        </w:rPr>
        <w:t>技术和服务要求</w:t>
      </w:r>
    </w:p>
    <w:p w14:paraId="122AD349">
      <w:pPr>
        <w:pStyle w:val="6"/>
        <w:keepNext w:val="0"/>
        <w:keepLines w:val="0"/>
        <w:pageBreakBefore w:val="0"/>
        <w:widowControl/>
        <w:kinsoku/>
        <w:wordWrap/>
        <w:overflowPunct/>
        <w:topLinePunct w:val="0"/>
        <w:autoSpaceDE/>
        <w:autoSpaceDN/>
        <w:bidi w:val="0"/>
        <w:adjustRightInd/>
        <w:snapToGrid/>
        <w:spacing w:line="460" w:lineRule="exact"/>
        <w:ind w:firstLine="320" w:firstLineChars="100"/>
        <w:jc w:val="both"/>
        <w:textAlignment w:val="auto"/>
        <w:outlineLvl w:val="2"/>
        <w:rPr>
          <w:rFonts w:hint="eastAsia" w:ascii="方正楷体_GBK" w:hAnsi="方正楷体_GBK" w:eastAsia="方正楷体_GBK" w:cs="方正楷体_GBK"/>
          <w:b/>
          <w:bCs/>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（一）资格条件</w:t>
      </w:r>
    </w:p>
    <w:p w14:paraId="1024F4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供应商须具有交通运输部颁发的水运工程专业乙级及以上监理资质等级证书（提供有效证书复印件加盖公章）。</w:t>
      </w:r>
    </w:p>
    <w:p w14:paraId="7CCB42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320" w:firstLineChars="100"/>
        <w:textAlignment w:val="auto"/>
        <w:outlineLvl w:val="9"/>
        <w:rPr>
          <w:rFonts w:hint="eastAsia" w:ascii="方正楷体_GBK" w:hAnsi="方正楷体_GBK" w:eastAsia="方正楷体_GBK" w:cs="方正楷体_GBK"/>
          <w:b/>
          <w:bCs/>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（二）技术规范</w:t>
      </w:r>
    </w:p>
    <w:p w14:paraId="55FE11A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1、《水运工程施工监理规定（试行）》（交通运输部令2015年第14号）；</w:t>
      </w:r>
    </w:p>
    <w:p w14:paraId="3CD61F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2、《公路水运工程安全生产监督管理办法》（交通运输部令2017年第25号）；</w:t>
      </w:r>
    </w:p>
    <w:p w14:paraId="27827F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3、《水运工程施工监理规范》（JTS252-2015）；</w:t>
      </w:r>
    </w:p>
    <w:p w14:paraId="61559D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4、其他水运工程施工监理有关要求。</w:t>
      </w:r>
    </w:p>
    <w:p w14:paraId="795A9DF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320" w:firstLineChars="100"/>
        <w:textAlignment w:val="auto"/>
        <w:outlineLvl w:val="9"/>
        <w:rPr>
          <w:rFonts w:hint="eastAsia" w:ascii="方正楷体_GBK" w:hAnsi="方正楷体_GBK" w:eastAsia="方正楷体_GBK" w:cs="方正楷体_GBK"/>
          <w:b/>
          <w:bCs/>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（三）服务要求</w:t>
      </w:r>
    </w:p>
    <w:p w14:paraId="4F5DC9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疏浚项目监理服务工作，包含疏浚服务项目准备期、作业期、交工验收期工作，有效控制疏浚的安全、质量、环保及进度，具体包括但不限于：审查疏浚服务成交单位编制的组织设计、进度计划等；检验工程控制点的高程和坐标；项目进场作业队伍的资质审查及作业船机设备进场审查；签发开工指令；参加或主持工地现场会议；按要求进行作业现场旁站，做好旁站记录，通过多手段监督作业船舶疏浚及抛泥等；定期核查作业进度与计划执行情况；核实已完成合同工程量并签发相应的付款通知书；参与项目安全、质量事故调查，协助审查事故处理方案及其补救措施，并核查落实情况；调解采购人与疏浚服务成交单位在执行合同过程中发生的争端；审核疏浚服务成交单位提出的交工申请报告，并及时向采购人转报；核查档案资料的准确性；提交相应的监理报告；协助采购人或其上级主管部门主持的项目核验相关工作等，最终以双方合同约定为准。</w:t>
      </w:r>
    </w:p>
    <w:p w14:paraId="11C1A4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2、供应商报价为包干价，包含疏浚项目施工监理服务过程中产生的一切费用，不因设计变更、工程量变化、工期延误而调整。采购人不再承担任何费用。 </w:t>
      </w:r>
    </w:p>
    <w:p w14:paraId="16F0C5F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3、监理服务时间为所监理维护疏浚项目开工至完成核验为止。</w:t>
      </w:r>
    </w:p>
    <w:p w14:paraId="63BD87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4、成交供应商应承担因监理人员监理不到位（或其他人为因素）而发生事故的全部责任，涉嫌刑事犯罪的依法追究监理人员的刑事责任。</w:t>
      </w:r>
    </w:p>
    <w:p w14:paraId="075652A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5、成交供应商对在执行业务过程中知悉的商业秘密负有保密责任。除法律另有规定外，未经采购人同意，成交供应商不得将资料泄露给采购人以外的第三者或使用于非合同目的。</w:t>
      </w:r>
    </w:p>
    <w:p w14:paraId="5B22AB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320" w:firstLineChars="100"/>
        <w:textAlignment w:val="auto"/>
        <w:outlineLvl w:val="9"/>
        <w:rPr>
          <w:rFonts w:hint="eastAsia" w:ascii="宋体" w:hAnsi="宋体" w:cs="宋体"/>
          <w:color w:val="auto"/>
          <w:kern w:val="2"/>
          <w:sz w:val="28"/>
          <w:szCs w:val="28"/>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bidi="ar-SA"/>
        </w:rPr>
        <w:t>（四）技术力量要求</w:t>
      </w:r>
    </w:p>
    <w:tbl>
      <w:tblPr>
        <w:tblStyle w:val="4"/>
        <w:tblW w:w="9507" w:type="dxa"/>
        <w:tblInd w:w="-43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840"/>
        <w:gridCol w:w="7142"/>
        <w:gridCol w:w="617"/>
      </w:tblGrid>
      <w:tr w14:paraId="5694A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08" w:type="dxa"/>
            <w:tcBorders>
              <w:top w:val="single" w:color="000000" w:sz="4" w:space="0"/>
              <w:left w:val="single" w:color="000000" w:sz="4" w:space="0"/>
              <w:bottom w:val="single" w:color="000000" w:sz="4" w:space="0"/>
              <w:right w:val="single" w:color="000000" w:sz="4" w:space="0"/>
            </w:tcBorders>
            <w:noWrap w:val="0"/>
            <w:tcMar>
              <w:top w:w="0" w:type="dxa"/>
              <w:left w:w="60" w:type="dxa"/>
              <w:bottom w:w="0" w:type="dxa"/>
              <w:right w:w="60" w:type="dxa"/>
            </w:tcMar>
            <w:vAlign w:val="top"/>
          </w:tcPr>
          <w:p w14:paraId="12F9315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合同包</w:t>
            </w:r>
          </w:p>
        </w:tc>
        <w:tc>
          <w:tcPr>
            <w:tcW w:w="840" w:type="dxa"/>
            <w:tcBorders>
              <w:top w:val="single" w:color="000000" w:sz="4" w:space="0"/>
              <w:left w:val="nil"/>
              <w:bottom w:val="single" w:color="000000" w:sz="4" w:space="0"/>
              <w:right w:val="single" w:color="000000" w:sz="4" w:space="0"/>
            </w:tcBorders>
            <w:noWrap w:val="0"/>
            <w:tcMar>
              <w:top w:w="0" w:type="dxa"/>
              <w:left w:w="60" w:type="dxa"/>
              <w:bottom w:w="0" w:type="dxa"/>
              <w:right w:w="60" w:type="dxa"/>
            </w:tcMar>
            <w:vAlign w:val="top"/>
          </w:tcPr>
          <w:p w14:paraId="2F57EB5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岗位</w:t>
            </w:r>
          </w:p>
        </w:tc>
        <w:tc>
          <w:tcPr>
            <w:tcW w:w="7142" w:type="dxa"/>
            <w:tcBorders>
              <w:top w:val="single" w:color="000000" w:sz="4" w:space="0"/>
              <w:left w:val="nil"/>
              <w:bottom w:val="single" w:color="000000" w:sz="4" w:space="0"/>
              <w:right w:val="single" w:color="000000" w:sz="4" w:space="0"/>
            </w:tcBorders>
            <w:noWrap w:val="0"/>
            <w:tcMar>
              <w:top w:w="0" w:type="dxa"/>
              <w:left w:w="60" w:type="dxa"/>
              <w:bottom w:w="0" w:type="dxa"/>
              <w:right w:w="60" w:type="dxa"/>
            </w:tcMar>
            <w:vAlign w:val="top"/>
          </w:tcPr>
          <w:p w14:paraId="3626C7C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center"/>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资格要求</w:t>
            </w:r>
          </w:p>
        </w:tc>
        <w:tc>
          <w:tcPr>
            <w:tcW w:w="617" w:type="dxa"/>
            <w:tcBorders>
              <w:top w:val="single" w:color="000000" w:sz="4" w:space="0"/>
              <w:left w:val="nil"/>
              <w:bottom w:val="single" w:color="000000" w:sz="4" w:space="0"/>
              <w:right w:val="single" w:color="000000" w:sz="4" w:space="0"/>
            </w:tcBorders>
            <w:noWrap w:val="0"/>
            <w:tcMar>
              <w:top w:w="0" w:type="dxa"/>
              <w:left w:w="60" w:type="dxa"/>
              <w:bottom w:w="0" w:type="dxa"/>
              <w:right w:w="60" w:type="dxa"/>
            </w:tcMar>
            <w:vAlign w:val="top"/>
          </w:tcPr>
          <w:p w14:paraId="66ECC4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数量</w:t>
            </w:r>
          </w:p>
        </w:tc>
      </w:tr>
      <w:tr w14:paraId="6E660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08" w:type="dxa"/>
            <w:vMerge w:val="restart"/>
            <w:tcBorders>
              <w:top w:val="nil"/>
              <w:left w:val="single" w:color="000000" w:sz="4" w:space="0"/>
              <w:bottom w:val="single" w:color="000000" w:sz="4" w:space="0"/>
              <w:right w:val="single" w:color="000000" w:sz="4" w:space="0"/>
            </w:tcBorders>
            <w:noWrap w:val="0"/>
            <w:tcMar>
              <w:top w:w="0" w:type="dxa"/>
              <w:left w:w="60" w:type="dxa"/>
              <w:bottom w:w="0" w:type="dxa"/>
              <w:right w:w="60" w:type="dxa"/>
            </w:tcMar>
            <w:vAlign w:val="top"/>
          </w:tcPr>
          <w:p w14:paraId="7BB29C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840"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0C1F094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总监</w:t>
            </w:r>
          </w:p>
        </w:tc>
        <w:tc>
          <w:tcPr>
            <w:tcW w:w="7142"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50E1DAD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供应商拟担任本采购项目的项目总监应具有交通运输部批准的水运工程监理工程师资格，并取得安全、环保监理培训考试合格证书。</w:t>
            </w:r>
          </w:p>
        </w:tc>
        <w:tc>
          <w:tcPr>
            <w:tcW w:w="617"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568ACA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r>
      <w:tr w14:paraId="154AE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8" w:type="dxa"/>
            <w:vMerge w:val="continue"/>
            <w:tcBorders>
              <w:top w:val="nil"/>
              <w:left w:val="single" w:color="000000" w:sz="4" w:space="0"/>
              <w:bottom w:val="single" w:color="000000" w:sz="4" w:space="0"/>
              <w:right w:val="single" w:color="000000" w:sz="4" w:space="0"/>
            </w:tcBorders>
            <w:noWrap w:val="0"/>
            <w:vAlign w:val="top"/>
          </w:tcPr>
          <w:p w14:paraId="4148DD6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textAlignment w:val="auto"/>
              <w:outlineLvl w:val="9"/>
              <w:rPr>
                <w:rFonts w:hint="eastAsia" w:ascii="仿宋_GB2312" w:hAnsi="仿宋_GB2312" w:eastAsia="仿宋_GB2312" w:cs="仿宋_GB2312"/>
                <w:color w:val="auto"/>
                <w:kern w:val="2"/>
                <w:sz w:val="24"/>
                <w:szCs w:val="24"/>
                <w:highlight w:val="none"/>
                <w:lang w:val="en-US" w:eastAsia="zh-CN" w:bidi="ar-SA"/>
              </w:rPr>
            </w:pPr>
          </w:p>
        </w:tc>
        <w:tc>
          <w:tcPr>
            <w:tcW w:w="840"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36A551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监理员</w:t>
            </w:r>
          </w:p>
        </w:tc>
        <w:tc>
          <w:tcPr>
            <w:tcW w:w="7142"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5E0855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供应商拟担任本采购项目的项目监理员应具有交通运输部或省级交通部门组织的水运工程安全、环保监理培训考试合格证书。</w:t>
            </w:r>
          </w:p>
        </w:tc>
        <w:tc>
          <w:tcPr>
            <w:tcW w:w="617" w:type="dxa"/>
            <w:tcBorders>
              <w:top w:val="nil"/>
              <w:left w:val="nil"/>
              <w:bottom w:val="single" w:color="000000" w:sz="4" w:space="0"/>
              <w:right w:val="single" w:color="000000" w:sz="4" w:space="0"/>
            </w:tcBorders>
            <w:noWrap w:val="0"/>
            <w:tcMar>
              <w:top w:w="0" w:type="dxa"/>
              <w:left w:w="60" w:type="dxa"/>
              <w:bottom w:w="0" w:type="dxa"/>
              <w:right w:w="60" w:type="dxa"/>
            </w:tcMar>
            <w:vAlign w:val="top"/>
          </w:tcPr>
          <w:p w14:paraId="1944F7E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1人</w:t>
            </w:r>
          </w:p>
        </w:tc>
      </w:tr>
      <w:tr w14:paraId="3273A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9" w:hRule="atLeast"/>
        </w:trPr>
        <w:tc>
          <w:tcPr>
            <w:tcW w:w="9507" w:type="dxa"/>
            <w:gridSpan w:val="4"/>
            <w:tcBorders>
              <w:top w:val="nil"/>
              <w:left w:val="single" w:color="000000" w:sz="4" w:space="0"/>
              <w:bottom w:val="single" w:color="000000" w:sz="4" w:space="0"/>
              <w:right w:val="single" w:color="000000" w:sz="4" w:space="0"/>
            </w:tcBorders>
            <w:noWrap w:val="0"/>
            <w:tcMar>
              <w:top w:w="0" w:type="dxa"/>
              <w:left w:w="60" w:type="dxa"/>
              <w:bottom w:w="0" w:type="dxa"/>
              <w:right w:w="60" w:type="dxa"/>
            </w:tcMar>
            <w:vAlign w:val="top"/>
          </w:tcPr>
          <w:p w14:paraId="2663A8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注：表中所列人员配备为最低限度要求，供应商应根据实际工作需要及时投入人员。</w:t>
            </w:r>
          </w:p>
          <w:p w14:paraId="150B01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1、以上应为供应商本单位在岗人员。响应时需提供相关证书复印件及递交响应文件截止时间前六个月任意一个月（不含响应截止时间的当月）供应商为其缴纳社保的证明材料并加盖公章。</w:t>
            </w:r>
          </w:p>
          <w:p w14:paraId="262F70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相关监理人员资质与事实不符合的或者监理派驻现场的人员与响应文件不符的，每人罚款3000元，并无条件在3天内按响应文件进行更换。合同履行过程中，以上人员不得随意变更，若需变更由成交供应商向采购人提出申请，采购人书面同意后方可变更，若成交供应商自行更换以上人员，发现一次成交供应商向采购人支付中标金额的1%作为违约金。</w:t>
            </w:r>
          </w:p>
          <w:p w14:paraId="34AC44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textAlignment w:val="auto"/>
              <w:outlineLvl w:val="9"/>
              <w:rPr>
                <w:rFonts w:hint="eastAsia" w:ascii="宋体" w:hAnsi="宋体" w:eastAsia="宋体" w:cs="宋体"/>
                <w:color w:val="auto"/>
                <w:kern w:val="2"/>
                <w:sz w:val="30"/>
                <w:szCs w:val="30"/>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对常驻的监理员脱岗或不到岗现场。第一次警告，第二次要求支付违约金500元，累计达到三次要求支付违约金5000元并抄送行政主管部门。对总监理工程师代岗、串岗或不到岗。第一次警告，第二次要求支付违约金3000元，累计达到三次要求支付违约金30000元并抄送行政主管部门。</w:t>
            </w:r>
          </w:p>
        </w:tc>
      </w:tr>
    </w:tbl>
    <w:p w14:paraId="6294A7AB">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outlineLvl w:val="2"/>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三、供应商有下列情况之一者，其提交的响应文件将被视为未实质性响应采购公告要求，采购人将否决其响应文件，按无效处理：</w:t>
      </w:r>
    </w:p>
    <w:p w14:paraId="55AC17A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(一)响应文件中提供的资格证明文件不全的；</w:t>
      </w:r>
    </w:p>
    <w:p w14:paraId="07E13E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(二)响应文件中附有采购人无法接受的条件的；</w:t>
      </w:r>
    </w:p>
    <w:p w14:paraId="17CC925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(三)若供应商提供注明“复印件无效”或“复印无效”等不具备法律效力的证明材料或资料，其响应文件正本中应提供原件，未提供原件的证明材料或资料将导致无效响应；</w:t>
      </w:r>
    </w:p>
    <w:p w14:paraId="2BFBA47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(四)报价超过了采购公告要求的最高限价；</w:t>
      </w:r>
    </w:p>
    <w:p w14:paraId="668889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(五)未响应采购内容及要求“二、技术和服务要求”的条款，视为无效响应；</w:t>
      </w:r>
    </w:p>
    <w:p w14:paraId="2D6377D1">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outlineLvl w:val="2"/>
        <w:rPr>
          <w:rFonts w:hint="eastAsia" w:ascii="宋体" w:hAnsi="宋体" w:eastAsia="黑体" w:cs="宋体"/>
          <w:color w:val="auto"/>
          <w:kern w:val="2"/>
          <w:sz w:val="30"/>
          <w:szCs w:val="30"/>
          <w:highlight w:val="none"/>
          <w:lang w:val="en-US" w:eastAsia="zh-CN" w:bidi="ar-SA"/>
        </w:rPr>
      </w:pPr>
      <w:r>
        <w:rPr>
          <w:rFonts w:hint="eastAsia" w:ascii="黑体" w:hAnsi="黑体" w:eastAsia="黑体" w:cs="黑体"/>
          <w:b/>
          <w:sz w:val="32"/>
          <w:szCs w:val="32"/>
          <w:lang w:val="en-US" w:eastAsia="zh-CN"/>
        </w:rPr>
        <w:t>四、</w:t>
      </w:r>
      <w:r>
        <w:rPr>
          <w:rFonts w:hint="eastAsia" w:ascii="黑体" w:hAnsi="黑体" w:eastAsia="黑体" w:cs="黑体"/>
          <w:b/>
          <w:sz w:val="32"/>
          <w:szCs w:val="32"/>
          <w:lang w:eastAsia="zh-CN"/>
        </w:rPr>
        <w:t>交付</w:t>
      </w:r>
      <w:r>
        <w:rPr>
          <w:rFonts w:hint="eastAsia" w:ascii="黑体" w:hAnsi="黑体" w:eastAsia="黑体" w:cs="黑体"/>
          <w:b/>
          <w:sz w:val="32"/>
          <w:szCs w:val="32"/>
        </w:rPr>
        <w:t>和</w:t>
      </w:r>
      <w:r>
        <w:rPr>
          <w:rFonts w:hint="eastAsia" w:ascii="黑体" w:hAnsi="黑体" w:eastAsia="黑体" w:cs="黑体"/>
          <w:b/>
          <w:sz w:val="32"/>
          <w:szCs w:val="32"/>
          <w:lang w:eastAsia="zh-CN"/>
        </w:rPr>
        <w:t>验收方式</w:t>
      </w:r>
    </w:p>
    <w:p w14:paraId="44CF32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（一）交付地点：泉州港泉州湾海域采购人指定地点</w:t>
      </w:r>
    </w:p>
    <w:p w14:paraId="1224F3E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（二）交付时间：跟随所监理的2025年泉州港航道专项养护技术方案设计及维护疏浚服务项目时间。</w:t>
      </w:r>
    </w:p>
    <w:p w14:paraId="748957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（三）交付条件：完成监理合同全部内容，监理的维护疏浚服务项目通过采购人组织核验合格。</w:t>
      </w:r>
    </w:p>
    <w:p w14:paraId="61BBB9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（四）是否收取履约保证金：否</w:t>
      </w:r>
    </w:p>
    <w:p w14:paraId="1E8720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280" w:firstLineChars="1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（五）是否邀请供应商参与验收：否</w:t>
      </w:r>
    </w:p>
    <w:p w14:paraId="705E3762">
      <w:pPr>
        <w:keepNext w:val="0"/>
        <w:keepLines w:val="0"/>
        <w:pageBreakBefore w:val="0"/>
        <w:widowControl/>
        <w:suppressLineNumbers w:val="0"/>
        <w:kinsoku/>
        <w:topLinePunct w:val="0"/>
        <w:bidi w:val="0"/>
        <w:spacing w:beforeAutospacing="0" w:afterAutospacing="0" w:line="360" w:lineRule="auto"/>
        <w:ind w:right="-362" w:firstLine="280" w:firstLineChars="1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（六）支付方式：</w:t>
      </w:r>
    </w:p>
    <w:tbl>
      <w:tblPr>
        <w:tblStyle w:val="4"/>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223"/>
        <w:gridCol w:w="1635"/>
        <w:gridCol w:w="5479"/>
      </w:tblGrid>
      <w:tr w14:paraId="5422DC3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223"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1B57AE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支付期次</w:t>
            </w:r>
          </w:p>
        </w:tc>
        <w:tc>
          <w:tcPr>
            <w:tcW w:w="1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D8EC9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支付比例(%)</w:t>
            </w:r>
          </w:p>
        </w:tc>
        <w:tc>
          <w:tcPr>
            <w:tcW w:w="5479"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0984D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支付期次说明</w:t>
            </w:r>
          </w:p>
        </w:tc>
      </w:tr>
      <w:tr w14:paraId="6C62A9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223"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6AB3A3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p>
        </w:tc>
        <w:tc>
          <w:tcPr>
            <w:tcW w:w="1635"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B7C6F12">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100</w:t>
            </w:r>
          </w:p>
        </w:tc>
        <w:tc>
          <w:tcPr>
            <w:tcW w:w="5479"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20288A1">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rPr>
              <w:t>成交供应商完成监理合同全部内容，监理的维护疏浚</w:t>
            </w:r>
            <w:r>
              <w:rPr>
                <w:rFonts w:hint="eastAsia" w:ascii="仿宋_GB2312" w:hAnsi="仿宋_GB2312" w:eastAsia="仿宋_GB2312" w:cs="仿宋_GB2312"/>
                <w:color w:val="auto"/>
                <w:sz w:val="24"/>
                <w:szCs w:val="24"/>
                <w:highlight w:val="none"/>
                <w:lang w:val="en-US" w:eastAsia="zh-CN"/>
              </w:rPr>
              <w:t>服务项目</w:t>
            </w:r>
            <w:r>
              <w:rPr>
                <w:rFonts w:hint="eastAsia" w:ascii="仿宋_GB2312" w:hAnsi="仿宋_GB2312" w:eastAsia="仿宋_GB2312" w:cs="仿宋_GB2312"/>
                <w:color w:val="auto"/>
                <w:sz w:val="24"/>
                <w:szCs w:val="24"/>
                <w:highlight w:val="none"/>
              </w:rPr>
              <w:t>通过采购人组织</w:t>
            </w:r>
            <w:r>
              <w:rPr>
                <w:rFonts w:hint="eastAsia" w:ascii="仿宋_GB2312" w:hAnsi="仿宋_GB2312" w:eastAsia="仿宋_GB2312" w:cs="仿宋_GB2312"/>
                <w:color w:val="auto"/>
                <w:sz w:val="24"/>
                <w:szCs w:val="24"/>
                <w:highlight w:val="none"/>
                <w:lang w:eastAsia="zh-CN"/>
              </w:rPr>
              <w:t>核验</w:t>
            </w:r>
            <w:r>
              <w:rPr>
                <w:rFonts w:hint="eastAsia" w:ascii="仿宋_GB2312" w:hAnsi="仿宋_GB2312" w:eastAsia="仿宋_GB2312" w:cs="仿宋_GB2312"/>
                <w:color w:val="auto"/>
                <w:sz w:val="24"/>
                <w:szCs w:val="24"/>
                <w:highlight w:val="none"/>
              </w:rPr>
              <w:t>合格并向采购人提交监理总结报告后，采购人收到成交供应商开具的增值税发票及付款申请后支付合同总金额的</w:t>
            </w:r>
            <w:r>
              <w:rPr>
                <w:rFonts w:hint="eastAsia" w:ascii="仿宋_GB2312" w:hAnsi="仿宋_GB2312" w:eastAsia="仿宋_GB2312" w:cs="仿宋_GB2312"/>
                <w:color w:val="auto"/>
                <w:sz w:val="24"/>
                <w:szCs w:val="24"/>
                <w:highlight w:val="none"/>
                <w:lang w:val="en-US" w:eastAsia="zh-CN"/>
              </w:rPr>
              <w:t>100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tc>
      </w:tr>
    </w:tbl>
    <w:p w14:paraId="3F5E01CC">
      <w:pPr>
        <w:keepNext w:val="0"/>
        <w:keepLines w:val="0"/>
        <w:pageBreakBefore w:val="0"/>
        <w:kinsoku/>
        <w:wordWrap/>
        <w:overflowPunct/>
        <w:topLinePunct w:val="0"/>
        <w:autoSpaceDE/>
        <w:autoSpaceDN/>
        <w:bidi w:val="0"/>
        <w:adjustRightInd/>
        <w:snapToGrid/>
        <w:spacing w:line="460" w:lineRule="exact"/>
        <w:ind w:firstLine="280" w:firstLineChars="1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（八）违约责任：</w:t>
      </w:r>
    </w:p>
    <w:p w14:paraId="4CC29FD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bookmarkStart w:id="0" w:name="_Toc500403290"/>
      <w:r>
        <w:rPr>
          <w:rFonts w:hint="eastAsia" w:ascii="仿宋_GB2312" w:hAnsi="仿宋_GB2312" w:eastAsia="仿宋_GB2312" w:cs="仿宋_GB2312"/>
          <w:color w:val="auto"/>
          <w:sz w:val="28"/>
          <w:szCs w:val="28"/>
          <w:highlight w:val="none"/>
          <w:lang w:val="en-US" w:eastAsia="zh-CN"/>
        </w:rPr>
        <w:t>1、因成交供应商的原因未按合同约定影响所监理的维护疏浚项目完工并核验合格的(除不可抗拒的自然灾害影响工期外)，则每逾期一天应向采购人支付合同总价0.1%的违约金，最多不超过合同总价的3%，成交供应商应在结算总价中直接扣减违约金。逾期超过三十日的，采购人有权单方解除合同，成交供应商应向采购人支付合同总价20%的违约金；造成采购人损失的，成交供应商须负责赔偿。</w:t>
      </w:r>
    </w:p>
    <w:p w14:paraId="1656184A">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合同签订后，成交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无正当理由要求解除合同的，视为成交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违约，成交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应向采购人支付合同总价20%的违约金；对采购人造成的损失的，成交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需支付相应的赔偿。</w:t>
      </w:r>
    </w:p>
    <w:p w14:paraId="66D7C6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若因成交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的原因(如管理不善或操作不当等)而造成的事件事故或案件的，采购人有权解除合同，由此造成的一切法律后果，成交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自行负责。</w:t>
      </w:r>
    </w:p>
    <w:p w14:paraId="5ECB875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采购人逾期付款的（有正当理由的除外），每逾期一天，应按照逾期金额的同期银行贷款利率支付成交</w:t>
      </w: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逾期付款违约金。</w:t>
      </w:r>
    </w:p>
    <w:p w14:paraId="3D07967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362" w:firstLine="280" w:firstLineChars="100"/>
        <w:jc w:val="left"/>
        <w:textAlignment w:val="auto"/>
        <w:rPr>
          <w:rFonts w:hint="eastAsia" w:ascii="仿宋_GB2312" w:hAnsi="仿宋_GB2312" w:eastAsia="仿宋_GB2312" w:cs="仿宋_GB2312"/>
          <w:i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28"/>
          <w:szCs w:val="28"/>
          <w:highlight w:val="none"/>
          <w:shd w:val="clear" w:color="auto" w:fill="FFFFFF"/>
          <w:lang w:val="en-US" w:eastAsia="zh-CN" w:bidi="ar"/>
        </w:rPr>
        <w:t>（九）其它要求</w:t>
      </w:r>
      <w:bookmarkEnd w:id="0"/>
    </w:p>
    <w:p w14:paraId="5ADAEC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本项目</w:t>
      </w:r>
      <w:r>
        <w:rPr>
          <w:rFonts w:hint="eastAsia" w:ascii="仿宋_GB2312" w:hAnsi="仿宋_GB2312" w:eastAsia="仿宋_GB2312" w:cs="仿宋_GB2312"/>
          <w:color w:val="auto"/>
          <w:sz w:val="28"/>
          <w:szCs w:val="28"/>
          <w:highlight w:val="none"/>
        </w:rPr>
        <w:t>不允许成交人以任何名义和理由进行转包，如有发现，采购人有权单方终止合同。</w:t>
      </w:r>
    </w:p>
    <w:p w14:paraId="58A6CFC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本文件未明确的其它约定事项或条款，待采购人与成交人签订合同时，由双方协商订立。</w:t>
      </w:r>
    </w:p>
    <w:p w14:paraId="195A17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B91DEA-F29A-4B0D-A207-FF68EC7EB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4D9668-C0B8-4A29-AF8C-0709D0757FA2}"/>
  </w:font>
  <w:font w:name="仿宋_GB2312">
    <w:altName w:val="仿宋"/>
    <w:panose1 w:val="02010609030101010101"/>
    <w:charset w:val="86"/>
    <w:family w:val="auto"/>
    <w:pitch w:val="default"/>
    <w:sig w:usb0="00000000" w:usb1="00000000" w:usb2="00000000" w:usb3="00000000" w:csb0="00040000" w:csb1="00000000"/>
    <w:embedRegular r:id="rId3" w:fontKey="{3CEE15E2-6419-4ABA-AAA8-B162FC2A330F}"/>
  </w:font>
  <w:font w:name="方正小标宋简体">
    <w:panose1 w:val="02000000000000000000"/>
    <w:charset w:val="86"/>
    <w:family w:val="auto"/>
    <w:pitch w:val="default"/>
    <w:sig w:usb0="00000001" w:usb1="08000000" w:usb2="00000000" w:usb3="00000000" w:csb0="00040000" w:csb1="00000000"/>
    <w:embedRegular r:id="rId4" w:fontKey="{A72A28DF-4BDE-46DE-98D9-EA71A40BD0E3}"/>
  </w:font>
  <w:font w:name="方正楷体_GBK">
    <w:altName w:val="微软雅黑"/>
    <w:panose1 w:val="02000000000000000000"/>
    <w:charset w:val="86"/>
    <w:family w:val="auto"/>
    <w:pitch w:val="default"/>
    <w:sig w:usb0="00000000" w:usb1="00000000" w:usb2="00000000" w:usb3="00000000" w:csb0="00040000" w:csb1="00000000"/>
    <w:embedRegular r:id="rId5" w:fontKey="{AE1B1B13-2123-49CC-8939-BD9164A8AEE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75300"/>
    <w:rsid w:val="7F67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2025-10-28T07:25:00Z</dcterms:created>
  <dc:creator>鱼</dc:creator>
  <cp:lastModifiedBy>鱼</cp:lastModifiedBy>
  <dcterms:modified xsi:type="dcterms:W3CDTF">2025-10-28T07:25:46Z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8125FFB91C3B4B7A9FDD72CC6F1D8B7A_11</vt:lpwstr>
  </property>
  <property fmtid="{D5CDD505-2E9C-101B-9397-08002B2CF9AE}" pid="4" name="KSOTemplateDocerSaveRecord">
    <vt:lpwstr>eyJoZGlkIjoiODM0YzQzMGFjMjUzMGYwODMwZjhmZTEzMTA0N2U0NTciLCJ1c2VySWQiOiI0MjkwODEzMTEifQ==</vt:lpwstr>
  </property>
</Properties>
</file>