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sz w:val="48"/>
          <w:b/>
        </w:rPr>
        <w:t>福建省政府采购</w:t>
      </w:r>
    </w:p>
    <w:p>
      <w:pPr>
        <w:pStyle w:val="null3"/>
        <w:jc w:val="center"/>
        <w:outlineLvl w:val="0"/>
      </w:pPr>
      <w:r>
        <w:rPr>
          <w:sz w:val="48"/>
          <w:b/>
        </w:rPr>
        <w:t>货物和服务项目</w:t>
      </w:r>
    </w:p>
    <w:p>
      <w:pPr>
        <w:pStyle w:val="null3"/>
        <w:jc w:val="center"/>
        <w:outlineLvl w:val="0"/>
      </w:pPr>
      <w:r>
        <w:rPr>
          <w:sz w:val="48"/>
          <w:b/>
        </w:rPr>
        <w:t>公开招标文件</w:t>
      </w:r>
    </w:p>
    <w:p>
      <w:pPr>
        <w:pStyle w:val="null3"/>
        <w:jc w:val="center"/>
        <w:outlineLvl w:val="2"/>
      </w:pPr>
      <w:r>
        <w:rPr>
          <w:sz w:val="28"/>
          <w:b/>
        </w:rPr>
        <w:t>项目名称：</w:t>
      </w:r>
      <w:r>
        <w:rPr>
          <w:sz w:val="28"/>
          <w:b/>
        </w:rPr>
        <w:t>2025年信息化运维服务项目</w:t>
      </w:r>
    </w:p>
    <w:p>
      <w:pPr>
        <w:pStyle w:val="null3"/>
        <w:jc w:val="center"/>
        <w:outlineLvl w:val="2"/>
      </w:pPr>
      <w:r>
        <w:rPr>
          <w:sz w:val="28"/>
          <w:b/>
        </w:rPr>
        <w:t>备案编号：</w:t>
      </w:r>
      <w:r>
        <w:rPr>
          <w:sz w:val="28"/>
          <w:b/>
        </w:rPr>
        <w:t>CGXM-2024-350001-02786[2024]09175</w:t>
      </w:r>
    </w:p>
    <w:p>
      <w:pPr>
        <w:pStyle w:val="null3"/>
        <w:jc w:val="center"/>
        <w:outlineLvl w:val="2"/>
      </w:pPr>
      <w:r>
        <w:rPr>
          <w:sz w:val="28"/>
          <w:b/>
        </w:rPr>
        <w:t>项目编号：</w:t>
      </w:r>
      <w:r>
        <w:rPr>
          <w:sz w:val="28"/>
          <w:b/>
        </w:rPr>
        <w:t>[350001]HYG[GK]2024013</w:t>
      </w:r>
    </w:p>
    <w:p>
      <w:pPr>
        <w:pStyle w:val="null3"/>
        <w:jc w:val="center"/>
        <w:outlineLvl w:val="2"/>
      </w:pPr>
      <w:r>
        <w:rPr>
          <w:sz w:val="28"/>
          <w:b/>
        </w:rPr>
        <w:t>采购人：</w:t>
      </w:r>
      <w:r>
        <w:rPr>
          <w:sz w:val="28"/>
          <w:b/>
        </w:rPr>
        <w:t>福建省交通运输综合保障服务中心</w:t>
      </w:r>
    </w:p>
    <w:p>
      <w:pPr>
        <w:pStyle w:val="null3"/>
        <w:jc w:val="center"/>
        <w:outlineLvl w:val="2"/>
      </w:pPr>
      <w:r>
        <w:rPr>
          <w:sz w:val="28"/>
          <w:b/>
        </w:rPr>
        <w:t>代理机构：</w:t>
      </w:r>
      <w:r>
        <w:rPr>
          <w:sz w:val="28"/>
          <w:b/>
        </w:rPr>
        <w:t>中宏源建设管理有限公司</w:t>
      </w:r>
    </w:p>
    <w:p>
      <w:pPr>
        <w:pStyle w:val="null3"/>
        <w:jc w:val="center"/>
        <w:outlineLvl w:val="2"/>
      </w:pPr>
      <w:r>
        <w:rPr>
          <w:sz w:val="28"/>
          <w:b/>
        </w:rPr>
        <w:t>编制时间</w:t>
      </w:r>
      <w:r>
        <w:rPr>
          <w:sz w:val="28"/>
          <w:b/>
        </w:rPr>
        <w:t>：</w:t>
      </w:r>
      <w:r>
        <w:rPr>
          <w:sz w:val="28"/>
          <w:b/>
        </w:rPr>
        <w:t>2024年11月</w:t>
      </w:r>
    </w:p>
    <w:p>
      <w:pPr>
        <w:pStyle w:val="null3"/>
      </w:pPr>
      <w:r>
        <w:rPr/>
        <w:t xml:space="preserve"> </w:t>
        <w:br/>
        <w:br w:type="page"/>
      </w:r>
    </w:p>
    <w:p>
      <w:pPr>
        <w:pStyle w:val="null3"/>
        <w:jc w:val="center"/>
        <w:outlineLvl w:val="1"/>
      </w:pPr>
      <w:r>
        <w:rPr>
          <w:sz w:val="36"/>
          <w:b/>
        </w:rPr>
        <w:t>第一章 投标邀请</w:t>
      </w:r>
    </w:p>
    <w:p>
      <w:pPr>
        <w:pStyle w:val="null3"/>
        <w:ind w:firstLine="480"/>
        <w:jc w:val="both"/>
      </w:pPr>
      <w:r>
        <w:rPr/>
        <w:t>中宏源建设管理有限公司</w:t>
      </w:r>
      <w:r>
        <w:rPr/>
        <w:t xml:space="preserve"> 采用公开招标方式组织 </w:t>
      </w:r>
      <w:r>
        <w:rPr/>
        <w:t>2025年信息化运维服务项目</w:t>
      </w:r>
      <w:r>
        <w:rPr/>
        <w:t xml:space="preserve"> （以下简称：“本项目”）的政府采购活动，现邀请供应商参加投标。</w:t>
      </w:r>
    </w:p>
    <w:p>
      <w:pPr>
        <w:pStyle w:val="null3"/>
        <w:ind w:firstLine="480"/>
        <w:jc w:val="left"/>
        <w:outlineLvl w:val="2"/>
      </w:pPr>
      <w:r>
        <w:rPr>
          <w:sz w:val="28"/>
          <w:b/>
        </w:rPr>
        <w:t>1、备案编号</w:t>
      </w:r>
      <w:r>
        <w:rPr>
          <w:sz w:val="28"/>
          <w:b/>
        </w:rPr>
        <w:t>：</w:t>
      </w:r>
      <w:r>
        <w:rPr>
          <w:sz w:val="28"/>
          <w:b/>
        </w:rPr>
        <w:t>CGXM-2024-350001-02786[2024]09175</w:t>
      </w:r>
    </w:p>
    <w:p>
      <w:pPr>
        <w:pStyle w:val="null3"/>
        <w:ind w:firstLine="480"/>
        <w:jc w:val="left"/>
        <w:outlineLvl w:val="2"/>
      </w:pPr>
      <w:r>
        <w:rPr>
          <w:sz w:val="28"/>
          <w:b/>
        </w:rPr>
        <w:t>2、项目编号</w:t>
      </w:r>
      <w:r>
        <w:rPr>
          <w:sz w:val="28"/>
          <w:b/>
        </w:rPr>
        <w:t>：</w:t>
      </w:r>
      <w:r>
        <w:rPr>
          <w:sz w:val="28"/>
          <w:b/>
        </w:rPr>
        <w:t>[350001]HYG[GK]2024013</w:t>
      </w:r>
    </w:p>
    <w:p>
      <w:pPr>
        <w:pStyle w:val="null3"/>
        <w:ind w:firstLine="480"/>
        <w:jc w:val="both"/>
        <w:outlineLvl w:val="2"/>
      </w:pPr>
      <w:r>
        <w:rPr>
          <w:sz w:val="28"/>
          <w:b/>
        </w:rPr>
        <w:t>3、预算金额、最高限价</w:t>
      </w:r>
      <w:r>
        <w:rPr>
          <w:sz w:val="28"/>
          <w:b/>
        </w:rPr>
        <w:t>：详见《采购标的一览表》。</w:t>
      </w:r>
    </w:p>
    <w:p>
      <w:pPr>
        <w:pStyle w:val="null3"/>
        <w:ind w:firstLine="480"/>
        <w:jc w:val="left"/>
        <w:outlineLvl w:val="2"/>
      </w:pPr>
      <w:r>
        <w:rPr>
          <w:sz w:val="28"/>
          <w:b/>
        </w:rPr>
        <w:t>4、招标内容及要求</w:t>
      </w:r>
      <w:r>
        <w:rPr>
          <w:sz w:val="28"/>
          <w:b/>
        </w:rPr>
        <w:t>：详见《采购标的一览表》及招标文件第五章。</w:t>
      </w:r>
    </w:p>
    <w:p>
      <w:pPr>
        <w:pStyle w:val="null3"/>
        <w:ind w:firstLine="480"/>
        <w:jc w:val="left"/>
        <w:outlineLvl w:val="2"/>
      </w:pPr>
      <w:r>
        <w:rPr>
          <w:sz w:val="28"/>
          <w:b/>
        </w:rPr>
        <w:t>5、需要落实的政府采购政策</w:t>
      </w:r>
    </w:p>
    <w:p>
      <w:pPr>
        <w:pStyle w:val="null3"/>
        <w:ind w:firstLine="960"/>
        <w:jc w:val="left"/>
      </w:pPr>
      <w:r>
        <w:rPr/>
        <w:t>进口产品：</w:t>
      </w:r>
      <w:r>
        <w:rPr/>
        <w:t>不适用于本项目</w:t>
      </w:r>
    </w:p>
    <w:p>
      <w:pPr>
        <w:pStyle w:val="null3"/>
        <w:ind w:firstLine="960"/>
        <w:jc w:val="left"/>
      </w:pPr>
      <w:r>
        <w:rPr/>
        <w:t>节能产品：</w:t>
      </w:r>
      <w:r>
        <w:rPr/>
        <w:t>不适用于本项目</w:t>
      </w:r>
    </w:p>
    <w:p>
      <w:pPr>
        <w:pStyle w:val="null3"/>
        <w:ind w:firstLine="960"/>
        <w:jc w:val="left"/>
      </w:pPr>
      <w:r>
        <w:rPr/>
        <w:t>环境标志产品：</w:t>
      </w:r>
      <w:r>
        <w:rPr/>
        <w:t>不适用于本项目</w:t>
      </w:r>
    </w:p>
    <w:p>
      <w:pPr>
        <w:pStyle w:val="null3"/>
        <w:ind w:firstLine="960"/>
        <w:jc w:val="left"/>
      </w:pPr>
      <w:r>
        <w:rPr/>
        <w:t>促进中小企业发展的相关政策：</w:t>
      </w:r>
    </w:p>
    <w:p>
      <w:pPr>
        <w:pStyle w:val="null3"/>
        <w:ind w:firstLine="960"/>
        <w:jc w:val="left"/>
      </w:pPr>
      <w:r>
        <w:rPr/>
        <w:t>采购包1：设置专门采购包</w:t>
      </w:r>
    </w:p>
    <w:p>
      <w:pPr>
        <w:pStyle w:val="null3"/>
        <w:jc w:val="left"/>
      </w:pPr>
      <w:r>
        <w:rPr/>
        <w:t>面向的企业规模：</w:t>
      </w:r>
      <w:r>
        <w:rPr/>
        <w:t>中小企业</w:t>
      </w:r>
    </w:p>
    <w:p>
      <w:pPr>
        <w:pStyle w:val="null3"/>
        <w:jc w:val="left"/>
      </w:pPr>
      <w:r>
        <w:rPr/>
        <w:t>预留形式：</w:t>
      </w:r>
      <w:r>
        <w:rPr/>
        <w:t>设置专门采购包</w:t>
      </w:r>
    </w:p>
    <w:p>
      <w:pPr>
        <w:pStyle w:val="null3"/>
        <w:jc w:val="left"/>
      </w:pPr>
      <w:r>
        <w:rPr/>
        <w:t>预留比例：</w:t>
      </w:r>
      <w:r>
        <w:rPr/>
        <w:t>100%</w:t>
      </w:r>
    </w:p>
    <w:p>
      <w:pPr>
        <w:pStyle w:val="null3"/>
        <w:jc w:val="left"/>
      </w:pPr>
      <w:r>
        <w:rPr/>
        <w:t>采购包2：设置专门采购包</w:t>
      </w:r>
    </w:p>
    <w:p>
      <w:pPr>
        <w:pStyle w:val="null3"/>
        <w:jc w:val="left"/>
      </w:pPr>
      <w:r>
        <w:rPr/>
        <w:t>面向的企业规模：</w:t>
      </w:r>
      <w:r>
        <w:rPr/>
        <w:t>中小企业</w:t>
      </w:r>
    </w:p>
    <w:p>
      <w:pPr>
        <w:pStyle w:val="null3"/>
        <w:jc w:val="left"/>
      </w:pPr>
      <w:r>
        <w:rPr/>
        <w:t>预留形式：</w:t>
      </w:r>
      <w:r>
        <w:rPr/>
        <w:t>设置专门采购包</w:t>
      </w:r>
    </w:p>
    <w:p>
      <w:pPr>
        <w:pStyle w:val="null3"/>
        <w:jc w:val="left"/>
      </w:pPr>
      <w:r>
        <w:rPr/>
        <w:t>预留比例：</w:t>
      </w:r>
      <w:r>
        <w:rPr/>
        <w:t>100%</w:t>
      </w:r>
    </w:p>
    <w:p>
      <w:pPr>
        <w:pStyle w:val="null3"/>
        <w:jc w:val="left"/>
      </w:pPr>
      <w:r>
        <w:rPr/>
        <w:t>采购包3：专门采购包预留</w:t>
      </w:r>
    </w:p>
    <w:p>
      <w:pPr>
        <w:pStyle w:val="null3"/>
        <w:jc w:val="left"/>
      </w:pPr>
      <w:r>
        <w:rPr/>
        <w:t>面向的企业规模：</w:t>
      </w:r>
      <w:r>
        <w:rPr/>
        <w:t>中小企业</w:t>
      </w:r>
    </w:p>
    <w:p>
      <w:pPr>
        <w:pStyle w:val="null3"/>
        <w:jc w:val="left"/>
      </w:pPr>
      <w:r>
        <w:rPr/>
        <w:t>预留形式：</w:t>
      </w:r>
      <w:r>
        <w:rPr/>
        <w:t>专门采购包预留</w:t>
      </w:r>
    </w:p>
    <w:p>
      <w:pPr>
        <w:pStyle w:val="null3"/>
        <w:jc w:val="left"/>
      </w:pPr>
      <w:r>
        <w:rPr/>
        <w:t>预留比例：</w:t>
      </w:r>
      <w:r>
        <w:rPr/>
        <w:t>100%</w:t>
      </w:r>
    </w:p>
    <w:p>
      <w:pPr>
        <w:pStyle w:val="null3"/>
        <w:ind w:firstLine="480"/>
        <w:jc w:val="both"/>
        <w:outlineLvl w:val="2"/>
      </w:pPr>
      <w:r>
        <w:rPr>
          <w:sz w:val="28"/>
          <w:b/>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960"/>
        <w:jc w:val="both"/>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 xml:space="preserve"> 资格审查要求概况</w:t>
            </w:r>
          </w:p>
        </w:tc>
        <w:tc>
          <w:tcPr>
            <w:tcW w:type="dxa" w:w="4614"/>
          </w:tcPr>
          <w:p>
            <w:pPr>
              <w:pStyle w:val="null3"/>
              <w:jc w:val="both"/>
            </w:pPr>
            <w:r>
              <w:rPr/>
              <w:t xml:space="preserve"> 评审点具体描述</w:t>
            </w:r>
          </w:p>
        </w:tc>
      </w:tr>
      <w:tr>
        <w:tc>
          <w:tcPr>
            <w:tcW w:type="dxa" w:w="3692"/>
          </w:tcPr>
          <w:p>
            <w:pPr>
              <w:pStyle w:val="null3"/>
              <w:jc w:val="both"/>
            </w:pPr>
            <w:r>
              <w:rPr/>
              <w:t>资格承诺函</w:t>
            </w:r>
          </w:p>
        </w:tc>
        <w:tc>
          <w:tcPr>
            <w:tcW w:type="dxa" w:w="4614"/>
          </w:tcPr>
          <w:p>
            <w:pPr>
              <w:pStyle w:val="null3"/>
              <w:jc w:val="both"/>
            </w:pPr>
            <w:r>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t>本采购包属于专门面向中小企业采购。</w:t>
            </w:r>
          </w:p>
        </w:tc>
        <w:tc>
          <w:tcPr>
            <w:tcW w:type="dxa" w:w="4614"/>
          </w:tcPr>
          <w:p>
            <w:pPr>
              <w:pStyle w:val="null3"/>
              <w:jc w:val="both"/>
            </w:pPr>
            <w:r>
              <w:rPr/>
              <w:t>本采购包为专门面向中小企业采购，投标人须提供中小企业声明函。监狱企业、残疾人福利性单位视同小型、微型企业。</w:t>
            </w:r>
          </w:p>
        </w:tc>
      </w:tr>
    </w:tbl>
    <w:p>
      <w:pPr>
        <w:pStyle w:val="null3"/>
        <w:jc w:val="both"/>
      </w:pPr>
      <w:r>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 xml:space="preserve"> 资格审查要求概况</w:t>
            </w:r>
          </w:p>
        </w:tc>
        <w:tc>
          <w:tcPr>
            <w:tcW w:type="dxa" w:w="4614"/>
          </w:tcPr>
          <w:p>
            <w:pPr>
              <w:pStyle w:val="null3"/>
              <w:jc w:val="both"/>
            </w:pPr>
            <w:r>
              <w:rPr/>
              <w:t xml:space="preserve"> 评审点具体描述</w:t>
            </w:r>
          </w:p>
        </w:tc>
      </w:tr>
      <w:tr>
        <w:tc>
          <w:tcPr>
            <w:tcW w:type="dxa" w:w="3692"/>
          </w:tcPr>
          <w:p>
            <w:pPr>
              <w:pStyle w:val="null3"/>
              <w:jc w:val="both"/>
            </w:pPr>
            <w:r>
              <w:rPr/>
              <w:t>资格承诺函</w:t>
            </w:r>
          </w:p>
        </w:tc>
        <w:tc>
          <w:tcPr>
            <w:tcW w:type="dxa" w:w="4614"/>
          </w:tcPr>
          <w:p>
            <w:pPr>
              <w:pStyle w:val="null3"/>
              <w:jc w:val="both"/>
            </w:pPr>
            <w:r>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t>本采购包属于专门面向中小企业采购。</w:t>
            </w:r>
          </w:p>
        </w:tc>
        <w:tc>
          <w:tcPr>
            <w:tcW w:type="dxa" w:w="4614"/>
          </w:tcPr>
          <w:p>
            <w:pPr>
              <w:pStyle w:val="null3"/>
              <w:jc w:val="both"/>
            </w:pPr>
            <w:r>
              <w:rPr/>
              <w:t>本采购包为专门面向中小企业采购，投标人须提供中小企业声明函。监狱企业、残疾人福利性单位视同小型、微型企业。</w:t>
            </w:r>
          </w:p>
        </w:tc>
      </w:tr>
    </w:tbl>
    <w:p>
      <w:pPr>
        <w:pStyle w:val="null3"/>
        <w:jc w:val="both"/>
      </w:pPr>
      <w:r>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 xml:space="preserve"> 资格审查要求概况</w:t>
            </w:r>
          </w:p>
        </w:tc>
        <w:tc>
          <w:tcPr>
            <w:tcW w:type="dxa" w:w="4614"/>
          </w:tcPr>
          <w:p>
            <w:pPr>
              <w:pStyle w:val="null3"/>
              <w:jc w:val="both"/>
            </w:pPr>
            <w:r>
              <w:rPr/>
              <w:t xml:space="preserve"> 评审点具体描述</w:t>
            </w:r>
          </w:p>
        </w:tc>
      </w:tr>
      <w:tr>
        <w:tc>
          <w:tcPr>
            <w:tcW w:type="dxa" w:w="3692"/>
          </w:tcPr>
          <w:p>
            <w:pPr>
              <w:pStyle w:val="null3"/>
              <w:jc w:val="both"/>
            </w:pPr>
            <w:r>
              <w:rPr/>
              <w:t>资格承诺函</w:t>
            </w:r>
          </w:p>
        </w:tc>
        <w:tc>
          <w:tcPr>
            <w:tcW w:type="dxa" w:w="4614"/>
          </w:tcPr>
          <w:p>
            <w:pPr>
              <w:pStyle w:val="null3"/>
              <w:jc w:val="both"/>
            </w:pPr>
            <w:r>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t>本采购包属于专门面向中小企业采购。</w:t>
            </w:r>
          </w:p>
        </w:tc>
        <w:tc>
          <w:tcPr>
            <w:tcW w:type="dxa" w:w="4614"/>
          </w:tcPr>
          <w:p>
            <w:pPr>
              <w:pStyle w:val="null3"/>
              <w:jc w:val="both"/>
            </w:pPr>
            <w:r>
              <w:rPr/>
              <w:t>本采购包为专门面向中小企业采购，投标人须提供中小企业声明函。监狱企业、残疾人福利性单位视同小型、微型企业。</w:t>
            </w:r>
          </w:p>
        </w:tc>
      </w:tr>
    </w:tbl>
    <w:p>
      <w:pPr>
        <w:pStyle w:val="null3"/>
        <w:ind w:firstLine="960"/>
        <w:jc w:val="both"/>
      </w:pPr>
      <w:r>
        <w:rPr/>
        <w:t>6.3是否接受联合体投标：</w:t>
      </w:r>
    </w:p>
    <w:p>
      <w:pPr>
        <w:pStyle w:val="null3"/>
        <w:ind w:firstLine="960"/>
        <w:jc w:val="both"/>
      </w:pPr>
      <w:r>
        <w:rPr/>
        <w:t>采购包1：不接受</w:t>
      </w:r>
    </w:p>
    <w:p>
      <w:pPr>
        <w:pStyle w:val="null3"/>
        <w:jc w:val="both"/>
      </w:pPr>
      <w:r>
        <w:rPr/>
        <w:t>采购包2：不接受</w:t>
      </w:r>
    </w:p>
    <w:p>
      <w:pPr>
        <w:pStyle w:val="null3"/>
        <w:jc w:val="both"/>
      </w:pPr>
      <w:r>
        <w:rPr/>
        <w:t>采购包3：不接受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sz w:val="28"/>
          <w:b/>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sz w:val="28"/>
          <w:b/>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sz w:val="28"/>
          <w:b/>
        </w:rPr>
        <w:t>9、开标时间及地点</w:t>
      </w:r>
    </w:p>
    <w:p>
      <w:pPr>
        <w:pStyle w:val="null3"/>
        <w:ind w:firstLine="960"/>
        <w:jc w:val="both"/>
      </w:pPr>
      <w:r>
        <w:rPr/>
        <w:t>详见招标公告或更正公告，若不一致，以更正公告为准。</w:t>
      </w:r>
    </w:p>
    <w:p>
      <w:pPr>
        <w:pStyle w:val="null3"/>
        <w:ind w:firstLine="480"/>
        <w:jc w:val="both"/>
        <w:outlineLvl w:val="2"/>
      </w:pPr>
      <w:r>
        <w:rPr>
          <w:sz w:val="28"/>
          <w:b/>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sz w:val="28"/>
          <w:b/>
        </w:rPr>
        <w:t>11、采购人</w:t>
      </w:r>
      <w:r>
        <w:rPr>
          <w:sz w:val="28"/>
          <w:b/>
        </w:rPr>
        <w:t>：</w:t>
      </w:r>
      <w:r>
        <w:rPr>
          <w:sz w:val="28"/>
          <w:b/>
        </w:rPr>
        <w:t>福建省交通运输综合保障服务中心</w:t>
      </w:r>
    </w:p>
    <w:p>
      <w:pPr>
        <w:pStyle w:val="null3"/>
        <w:ind w:firstLine="960"/>
        <w:jc w:val="left"/>
      </w:pPr>
      <w:r>
        <w:rPr/>
        <w:t xml:space="preserve"> 地址： </w:t>
      </w:r>
      <w:r>
        <w:rPr/>
        <w:t>福州市东水路18号交通综合大楼东楼21-23层</w:t>
      </w:r>
    </w:p>
    <w:p>
      <w:pPr>
        <w:pStyle w:val="null3"/>
        <w:jc w:val="left"/>
      </w:pPr>
      <w:r>
        <w:rPr/>
        <w:t xml:space="preserve"> 邮编： </w:t>
      </w:r>
      <w:r>
        <w:rPr/>
        <w:t>350000</w:t>
      </w:r>
    </w:p>
    <w:p>
      <w:pPr>
        <w:pStyle w:val="null3"/>
        <w:jc w:val="left"/>
      </w:pPr>
      <w:r>
        <w:rPr/>
        <w:t xml:space="preserve"> 联系人： </w:t>
      </w:r>
      <w:r>
        <w:rPr/>
        <w:t>谢姝琪</w:t>
      </w:r>
    </w:p>
    <w:p>
      <w:pPr>
        <w:pStyle w:val="null3"/>
        <w:jc w:val="left"/>
      </w:pPr>
      <w:r>
        <w:rPr/>
        <w:t xml:space="preserve"> 联系电话： </w:t>
      </w:r>
      <w:r>
        <w:rPr/>
        <w:t>18965908520</w:t>
      </w:r>
    </w:p>
    <w:p>
      <w:pPr>
        <w:pStyle w:val="null3"/>
        <w:ind w:firstLine="480"/>
        <w:jc w:val="left"/>
        <w:outlineLvl w:val="2"/>
      </w:pPr>
      <w:r>
        <w:rPr>
          <w:sz w:val="28"/>
          <w:b/>
        </w:rPr>
        <w:t>12、代理机构</w:t>
      </w:r>
      <w:r>
        <w:rPr>
          <w:sz w:val="28"/>
          <w:b/>
        </w:rPr>
        <w:t>：</w:t>
      </w:r>
      <w:r>
        <w:rPr>
          <w:sz w:val="28"/>
          <w:b/>
        </w:rPr>
        <w:t>中宏源建设管理有限公司</w:t>
      </w:r>
    </w:p>
    <w:p>
      <w:pPr>
        <w:pStyle w:val="null3"/>
        <w:ind w:firstLine="960"/>
        <w:jc w:val="both"/>
      </w:pPr>
      <w:r>
        <w:rPr/>
        <w:t xml:space="preserve"> 地址： </w:t>
      </w:r>
      <w:r>
        <w:rPr/>
        <w:t>前横路169号盛辉物流集团总部大楼05层10-13单元</w:t>
      </w:r>
    </w:p>
    <w:p>
      <w:pPr>
        <w:pStyle w:val="null3"/>
        <w:jc w:val="both"/>
      </w:pPr>
      <w:r>
        <w:rPr/>
        <w:t xml:space="preserve"> 邮编： </w:t>
      </w:r>
      <w:r>
        <w:rPr/>
        <w:t>350000</w:t>
      </w:r>
    </w:p>
    <w:p>
      <w:pPr>
        <w:pStyle w:val="null3"/>
        <w:jc w:val="both"/>
      </w:pPr>
      <w:r>
        <w:rPr/>
        <w:t xml:space="preserve"> 联系人： </w:t>
      </w:r>
      <w:r>
        <w:rPr/>
        <w:t>陈明铭</w:t>
      </w:r>
    </w:p>
    <w:p>
      <w:pPr>
        <w:pStyle w:val="null3"/>
        <w:jc w:val="both"/>
      </w:pPr>
      <w:r>
        <w:rPr/>
        <w:t xml:space="preserve"> 联系电话： </w:t>
      </w:r>
      <w:r>
        <w:rPr/>
        <w:t>0591-83593692</w:t>
      </w:r>
    </w:p>
    <w:p>
      <w:pPr>
        <w:pStyle w:val="null3"/>
        <w:ind w:firstLine="480"/>
        <w:jc w:val="both"/>
        <w:outlineLvl w:val="2"/>
      </w:pPr>
      <w:r>
        <w:rPr>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投标保证金账户</w:t>
            </w:r>
          </w:p>
          <w:p>
            <w:pPr>
              <w:pStyle w:val="null3"/>
              <w:jc w:val="left"/>
            </w:pPr>
          </w:p>
        </w:tc>
      </w:tr>
      <w:tr>
        <w:tc>
          <w:tcPr>
            <w:tcW w:type="dxa" w:w="8306"/>
          </w:tcPr>
          <w:p>
            <w:pPr>
              <w:pStyle w:val="null3"/>
              <w:jc w:val="left"/>
            </w:pPr>
            <w:r>
              <w:rPr/>
              <w:t xml:space="preserve">开户名称： </w:t>
            </w:r>
            <w:r>
              <w:rPr/>
              <w:t>中宏源建设管理有限公司</w:t>
            </w:r>
          </w:p>
        </w:tc>
      </w:tr>
      <w:tr>
        <w:tc>
          <w:tcPr>
            <w:tcW w:type="dxa" w:w="8306"/>
          </w:tcPr>
          <w:p>
            <w:pPr>
              <w:pStyle w:val="null3"/>
              <w:jc w:val="left"/>
            </w:pPr>
            <w:r>
              <w:rPr/>
              <w:t>开户银行：供应商在福建省政府采购网上公开信息系统获取招标文件后，根据其提示自行选择要缴交的投标保证金托管银行。</w:t>
            </w:r>
          </w:p>
        </w:tc>
      </w:tr>
      <w:tr>
        <w:tc>
          <w:tcPr>
            <w:tcW w:type="dxa" w:w="8306"/>
          </w:tcPr>
          <w:p>
            <w:pPr>
              <w:pStyle w:val="null3"/>
              <w:jc w:val="left"/>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t>特别提示</w:t>
            </w:r>
          </w:p>
        </w:tc>
      </w:tr>
      <w:tr>
        <w:tc>
          <w:tcPr>
            <w:tcW w:type="dxa" w:w="8306"/>
          </w:tcPr>
          <w:p>
            <w:pPr>
              <w:pStyle w:val="null3"/>
              <w:jc w:val="left"/>
            </w:pPr>
            <w:r>
              <w:rPr/>
              <w:t>1、投标人应认真核对账户信息，将投标保证金汇入以上账户，并自行承担因汇错投标保证金而产生的一切后果。</w:t>
            </w:r>
          </w:p>
          <w:p>
            <w:pPr>
              <w:pStyle w:val="null3"/>
              <w:jc w:val="left"/>
            </w:pPr>
            <w:r>
              <w:rPr/>
              <w:t xml:space="preserve"> 2、投标人在转账或电汇的凭证上应按照以下格式注明，以便核对：“（项目编号：***）的投标保证金”。</w:t>
            </w:r>
          </w:p>
        </w:tc>
      </w:tr>
    </w:tbl>
    <w:p>
      <w:pPr>
        <w:pStyle w:val="null3"/>
        <w:ind w:firstLine="480"/>
        <w:jc w:val="both"/>
        <w:outlineLvl w:val="2"/>
      </w:pPr>
      <w:r>
        <w:rPr>
          <w:sz w:val="28"/>
          <w:b/>
        </w:rPr>
        <w:t>附2：采购标的一览表</w:t>
      </w:r>
    </w:p>
    <w:p>
      <w:pPr>
        <w:pStyle w:val="null3"/>
        <w:jc w:val="left"/>
      </w:pPr>
      <w:r>
        <w:rPr/>
        <w:t>采购包1：</w:t>
      </w:r>
    </w:p>
    <w:p>
      <w:pPr>
        <w:pStyle w:val="null3"/>
        <w:jc w:val="left"/>
      </w:pPr>
      <w:r>
        <w:rPr/>
        <w:t>采购包预算金额（元）: 450,000.00</w:t>
      </w:r>
    </w:p>
    <w:p>
      <w:pPr>
        <w:pStyle w:val="null3"/>
        <w:jc w:val="left"/>
      </w:pPr>
      <w:r>
        <w:rPr/>
        <w:t>采购包最高限价（元）: 450,000.00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2025年执法系统运维服务</w:t>
            </w:r>
          </w:p>
        </w:tc>
        <w:tc>
          <w:tcPr>
            <w:tcW w:type="dxa" w:w="1187"/>
          </w:tcPr>
          <w:p>
            <w:pPr>
              <w:pStyle w:val="null3"/>
              <w:jc w:val="right"/>
            </w:pPr>
            <w:r>
              <w:rPr/>
              <w:t>1.00</w:t>
            </w:r>
          </w:p>
        </w:tc>
        <w:tc>
          <w:tcPr>
            <w:tcW w:type="dxa" w:w="1187"/>
          </w:tcPr>
          <w:p>
            <w:pPr>
              <w:pStyle w:val="null3"/>
              <w:jc w:val="right"/>
            </w:pPr>
            <w:r>
              <w:rPr/>
              <w:t>450,000.00</w:t>
            </w:r>
          </w:p>
        </w:tc>
        <w:tc>
          <w:tcPr>
            <w:tcW w:type="dxa" w:w="1187"/>
          </w:tcPr>
          <w:p>
            <w:pPr>
              <w:pStyle w:val="null3"/>
              <w:jc w:val="left"/>
            </w:pPr>
            <w:r>
              <w:rPr/>
              <w:t>项</w:t>
            </w:r>
          </w:p>
        </w:tc>
        <w:tc>
          <w:tcPr>
            <w:tcW w:type="dxa" w:w="1187"/>
          </w:tcPr>
          <w:p>
            <w:pPr>
              <w:pStyle w:val="null3"/>
              <w:jc w:val="left"/>
            </w:pPr>
            <w:r>
              <w:rPr/>
              <w:t>软件和信息技术服务业</w:t>
            </w:r>
          </w:p>
        </w:tc>
        <w:tc>
          <w:tcPr>
            <w:tcW w:type="dxa" w:w="1187"/>
          </w:tcPr>
          <w:p>
            <w:pPr>
              <w:pStyle w:val="null3"/>
              <w:jc w:val="left"/>
            </w:pPr>
            <w:r>
              <w:rPr/>
              <w:t>否</w:t>
            </w:r>
          </w:p>
        </w:tc>
      </w:tr>
    </w:tbl>
    <w:p>
      <w:pPr>
        <w:pStyle w:val="null3"/>
        <w:jc w:val="left"/>
      </w:pPr>
      <w:r>
        <w:rPr/>
        <w:t>采购包2：</w:t>
      </w:r>
    </w:p>
    <w:p>
      <w:pPr>
        <w:pStyle w:val="null3"/>
        <w:jc w:val="left"/>
      </w:pPr>
      <w:r>
        <w:rPr/>
        <w:t>采购包预算金额（元）: 400,000.00</w:t>
      </w:r>
    </w:p>
    <w:p>
      <w:pPr>
        <w:pStyle w:val="null3"/>
        <w:jc w:val="left"/>
      </w:pPr>
      <w:r>
        <w:rPr/>
        <w:t>采购包最高限价（元）: 400,000.00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2025年办公信息化运维服务</w:t>
            </w:r>
          </w:p>
        </w:tc>
        <w:tc>
          <w:tcPr>
            <w:tcW w:type="dxa" w:w="1187"/>
          </w:tcPr>
          <w:p>
            <w:pPr>
              <w:pStyle w:val="null3"/>
              <w:jc w:val="right"/>
            </w:pPr>
            <w:r>
              <w:rPr/>
              <w:t>1.00</w:t>
            </w:r>
          </w:p>
        </w:tc>
        <w:tc>
          <w:tcPr>
            <w:tcW w:type="dxa" w:w="1187"/>
          </w:tcPr>
          <w:p>
            <w:pPr>
              <w:pStyle w:val="null3"/>
              <w:jc w:val="right"/>
            </w:pPr>
            <w:r>
              <w:rPr/>
              <w:t>400,000.00</w:t>
            </w:r>
          </w:p>
        </w:tc>
        <w:tc>
          <w:tcPr>
            <w:tcW w:type="dxa" w:w="1187"/>
          </w:tcPr>
          <w:p>
            <w:pPr>
              <w:pStyle w:val="null3"/>
              <w:jc w:val="left"/>
            </w:pPr>
            <w:r>
              <w:rPr/>
              <w:t>项目</w:t>
            </w:r>
          </w:p>
        </w:tc>
        <w:tc>
          <w:tcPr>
            <w:tcW w:type="dxa" w:w="1187"/>
          </w:tcPr>
          <w:p>
            <w:pPr>
              <w:pStyle w:val="null3"/>
              <w:jc w:val="left"/>
            </w:pPr>
            <w:r>
              <w:rPr/>
              <w:t>软件和信息技术服务业</w:t>
            </w:r>
          </w:p>
        </w:tc>
        <w:tc>
          <w:tcPr>
            <w:tcW w:type="dxa" w:w="1187"/>
          </w:tcPr>
          <w:p>
            <w:pPr>
              <w:pStyle w:val="null3"/>
              <w:jc w:val="left"/>
            </w:pPr>
            <w:r>
              <w:rPr/>
              <w:t>否</w:t>
            </w:r>
          </w:p>
        </w:tc>
      </w:tr>
    </w:tbl>
    <w:p>
      <w:pPr>
        <w:pStyle w:val="null3"/>
        <w:jc w:val="left"/>
      </w:pPr>
      <w:r>
        <w:rPr/>
        <w:t>采购包3：</w:t>
      </w:r>
    </w:p>
    <w:p>
      <w:pPr>
        <w:pStyle w:val="null3"/>
        <w:jc w:val="left"/>
      </w:pPr>
      <w:r>
        <w:rPr/>
        <w:t>采购包预算金额（元）: 500,000.00</w:t>
      </w:r>
    </w:p>
    <w:p>
      <w:pPr>
        <w:pStyle w:val="null3"/>
        <w:jc w:val="left"/>
      </w:pPr>
      <w:r>
        <w:rPr/>
        <w:t>采购包最高限价（元）: 500,000.00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2025年网络与信息系统安全服务</w:t>
            </w:r>
          </w:p>
        </w:tc>
        <w:tc>
          <w:tcPr>
            <w:tcW w:type="dxa" w:w="1187"/>
          </w:tcPr>
          <w:p>
            <w:pPr>
              <w:pStyle w:val="null3"/>
              <w:jc w:val="right"/>
            </w:pPr>
            <w:r>
              <w:rPr/>
              <w:t>1.00</w:t>
            </w:r>
          </w:p>
        </w:tc>
        <w:tc>
          <w:tcPr>
            <w:tcW w:type="dxa" w:w="1187"/>
          </w:tcPr>
          <w:p>
            <w:pPr>
              <w:pStyle w:val="null3"/>
              <w:jc w:val="right"/>
            </w:pPr>
            <w:r>
              <w:rPr/>
              <w:t>500,000.00</w:t>
            </w:r>
          </w:p>
        </w:tc>
        <w:tc>
          <w:tcPr>
            <w:tcW w:type="dxa" w:w="1187"/>
          </w:tcPr>
          <w:p>
            <w:pPr>
              <w:pStyle w:val="null3"/>
              <w:jc w:val="left"/>
            </w:pPr>
            <w:r>
              <w:rPr/>
              <w:t>项</w:t>
            </w:r>
          </w:p>
        </w:tc>
        <w:tc>
          <w:tcPr>
            <w:tcW w:type="dxa" w:w="1187"/>
          </w:tcPr>
          <w:p>
            <w:pPr>
              <w:pStyle w:val="null3"/>
              <w:jc w:val="left"/>
            </w:pPr>
            <w:r>
              <w:rPr/>
              <w:t>软件和信息技术服务业</w:t>
            </w:r>
          </w:p>
        </w:tc>
        <w:tc>
          <w:tcPr>
            <w:tcW w:type="dxa" w:w="1187"/>
          </w:tcPr>
          <w:p>
            <w:pPr>
              <w:pStyle w:val="null3"/>
              <w:jc w:val="left"/>
            </w:pPr>
            <w:r>
              <w:rPr/>
              <w:t>否</w:t>
            </w:r>
          </w:p>
        </w:tc>
      </w:tr>
    </w:tbl>
    <w:p>
      <w:pPr>
        <w:pStyle w:val="null3"/>
        <w:jc w:val="left"/>
      </w:pPr>
      <w:r>
        <w:rPr/>
        <w:t>采购包1：</w:t>
      </w:r>
    </w:p>
    <w:p>
      <w:pPr>
        <w:pStyle w:val="null3"/>
        <w:jc w:val="left"/>
      </w:pPr>
      <w:r>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t>序号</w:t>
            </w:r>
          </w:p>
        </w:tc>
        <w:tc>
          <w:tcPr>
            <w:tcW w:type="dxa" w:w="3046"/>
          </w:tcPr>
          <w:p>
            <w:pPr>
              <w:pStyle w:val="null3"/>
              <w:jc w:val="left"/>
            </w:pPr>
            <w:r>
              <w:rPr/>
              <w:t>报价内容</w:t>
            </w:r>
          </w:p>
        </w:tc>
        <w:tc>
          <w:tcPr>
            <w:tcW w:type="dxa" w:w="554"/>
          </w:tcPr>
          <w:p>
            <w:pPr>
              <w:pStyle w:val="null3"/>
              <w:jc w:val="left"/>
            </w:pPr>
            <w:r>
              <w:rPr/>
              <w:t>计量单位</w:t>
            </w:r>
          </w:p>
        </w:tc>
        <w:tc>
          <w:tcPr>
            <w:tcW w:type="dxa" w:w="554"/>
          </w:tcPr>
          <w:p>
            <w:pPr>
              <w:pStyle w:val="null3"/>
              <w:jc w:val="left"/>
            </w:pPr>
            <w:r>
              <w:rPr/>
              <w:t>报价单位</w:t>
            </w:r>
          </w:p>
        </w:tc>
        <w:tc>
          <w:tcPr>
            <w:tcW w:type="dxa" w:w="1384"/>
          </w:tcPr>
          <w:p>
            <w:pPr>
              <w:pStyle w:val="null3"/>
              <w:jc w:val="left"/>
            </w:pPr>
            <w:r>
              <w:rPr/>
              <w:t>最高限价</w:t>
            </w:r>
          </w:p>
        </w:tc>
        <w:tc>
          <w:tcPr>
            <w:tcW w:type="dxa" w:w="1384"/>
          </w:tcPr>
          <w:p>
            <w:pPr>
              <w:pStyle w:val="null3"/>
              <w:jc w:val="left"/>
            </w:pPr>
            <w:r>
              <w:rPr/>
              <w:t>价款形式</w:t>
            </w:r>
          </w:p>
        </w:tc>
        <w:tc>
          <w:tcPr>
            <w:tcW w:type="dxa" w:w="1038"/>
          </w:tcPr>
          <w:p>
            <w:pPr>
              <w:pStyle w:val="null3"/>
              <w:jc w:val="left"/>
            </w:pPr>
            <w:r>
              <w:rPr/>
              <w:t>报价说明</w:t>
            </w:r>
          </w:p>
        </w:tc>
      </w:tr>
      <w:tr>
        <w:tc>
          <w:tcPr>
            <w:tcW w:type="dxa" w:w="346"/>
          </w:tcPr>
          <w:p>
            <w:pPr>
              <w:pStyle w:val="null3"/>
              <w:jc w:val="left"/>
            </w:pPr>
            <w:r>
              <w:rPr/>
              <w:t>1</w:t>
            </w:r>
          </w:p>
        </w:tc>
        <w:tc>
          <w:tcPr>
            <w:tcW w:type="dxa" w:w="3046"/>
          </w:tcPr>
          <w:p>
            <w:pPr>
              <w:pStyle w:val="null3"/>
              <w:jc w:val="left"/>
            </w:pPr>
            <w:r>
              <w:rPr/>
              <w:t>2025年执法系统运维服务</w:t>
            </w:r>
          </w:p>
        </w:tc>
        <w:tc>
          <w:tcPr>
            <w:tcW w:type="dxa" w:w="554"/>
          </w:tcPr>
          <w:p>
            <w:pPr>
              <w:pStyle w:val="null3"/>
              <w:jc w:val="left"/>
            </w:pPr>
            <w:r>
              <w:rPr/>
              <w:t>项</w:t>
            </w:r>
          </w:p>
        </w:tc>
        <w:tc>
          <w:tcPr>
            <w:tcW w:type="dxa" w:w="554"/>
          </w:tcPr>
          <w:p>
            <w:pPr>
              <w:pStyle w:val="null3"/>
              <w:jc w:val="left"/>
            </w:pPr>
            <w:r>
              <w:rPr/>
              <w:t>元</w:t>
            </w:r>
          </w:p>
        </w:tc>
        <w:tc>
          <w:tcPr>
            <w:tcW w:type="dxa" w:w="1384"/>
          </w:tcPr>
          <w:p>
            <w:pPr>
              <w:pStyle w:val="null3"/>
              <w:jc w:val="right"/>
            </w:pPr>
            <w:r>
              <w:rPr/>
              <w:t>450,000.00</w:t>
            </w:r>
          </w:p>
        </w:tc>
        <w:tc>
          <w:tcPr>
            <w:tcW w:type="dxa" w:w="1384"/>
          </w:tcPr>
          <w:p>
            <w:pPr>
              <w:pStyle w:val="null3"/>
              <w:jc w:val="left"/>
            </w:pPr>
            <w:r>
              <w:rPr/>
              <w:t>总价</w:t>
            </w:r>
          </w:p>
        </w:tc>
        <w:tc>
          <w:tcPr>
            <w:tcW w:type="dxa" w:w="1038"/>
          </w:tcPr>
          <w:p>
            <w:pPr>
              <w:pStyle w:val="null3"/>
              <w:jc w:val="left"/>
            </w:pPr>
            <w:r>
              <w:rPr/>
              <w:t>无</w:t>
            </w:r>
          </w:p>
        </w:tc>
      </w:tr>
    </w:tbl>
    <w:p>
      <w:pPr>
        <w:pStyle w:val="null3"/>
        <w:jc w:val="left"/>
      </w:pPr>
      <w:r>
        <w:rPr/>
        <w:t>（2）报价明细要求：</w:t>
      </w:r>
    </w:p>
    <w:p>
      <w:pPr>
        <w:pStyle w:val="null3"/>
        <w:jc w:val="left"/>
      </w:pPr>
      <w:r>
        <w:rPr/>
        <w:t>2025年执法系统运维服务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t>序号</w:t>
            </w:r>
          </w:p>
        </w:tc>
        <w:tc>
          <w:tcPr>
            <w:tcW w:type="dxa" w:w="2076"/>
          </w:tcPr>
          <w:p>
            <w:pPr>
              <w:pStyle w:val="null3"/>
              <w:jc w:val="left"/>
            </w:pPr>
            <w:r>
              <w:rPr/>
              <w:t>报价明细内容</w:t>
            </w:r>
          </w:p>
        </w:tc>
        <w:tc>
          <w:tcPr>
            <w:tcW w:type="dxa" w:w="2076"/>
          </w:tcPr>
          <w:p>
            <w:pPr>
              <w:pStyle w:val="null3"/>
              <w:jc w:val="left"/>
            </w:pPr>
            <w:r>
              <w:rPr/>
              <w:t>报价要求</w:t>
            </w:r>
          </w:p>
        </w:tc>
        <w:tc>
          <w:tcPr>
            <w:tcW w:type="dxa" w:w="415"/>
          </w:tcPr>
          <w:p>
            <w:pPr>
              <w:pStyle w:val="null3"/>
              <w:jc w:val="left"/>
            </w:pPr>
            <w:r>
              <w:rPr/>
              <w:t>计量单位</w:t>
            </w:r>
          </w:p>
        </w:tc>
        <w:tc>
          <w:tcPr>
            <w:tcW w:type="dxa" w:w="415"/>
          </w:tcPr>
          <w:p>
            <w:pPr>
              <w:pStyle w:val="null3"/>
              <w:jc w:val="left"/>
            </w:pPr>
            <w:r>
              <w:rPr/>
              <w:t>报价单位</w:t>
            </w:r>
          </w:p>
        </w:tc>
        <w:tc>
          <w:tcPr>
            <w:tcW w:type="dxa" w:w="831"/>
          </w:tcPr>
          <w:p>
            <w:pPr>
              <w:pStyle w:val="null3"/>
              <w:jc w:val="left"/>
            </w:pPr>
            <w:r>
              <w:rPr/>
              <w:t>最高限价</w:t>
            </w:r>
          </w:p>
        </w:tc>
        <w:tc>
          <w:tcPr>
            <w:tcW w:type="dxa" w:w="831"/>
          </w:tcPr>
          <w:p>
            <w:pPr>
              <w:pStyle w:val="null3"/>
              <w:jc w:val="left"/>
            </w:pPr>
            <w:r>
              <w:rPr/>
              <w:t>价款形式</w:t>
            </w:r>
          </w:p>
        </w:tc>
        <w:tc>
          <w:tcPr>
            <w:tcW w:type="dxa" w:w="1246"/>
          </w:tcPr>
          <w:p>
            <w:pPr>
              <w:pStyle w:val="null3"/>
              <w:jc w:val="left"/>
            </w:pPr>
            <w:r>
              <w:rPr/>
              <w:t>报价说明</w:t>
            </w:r>
          </w:p>
        </w:tc>
      </w:tr>
      <w:tr>
        <w:tc>
          <w:tcPr>
            <w:tcW w:type="dxa" w:w="415"/>
          </w:tcPr>
          <w:p>
            <w:pPr>
              <w:pStyle w:val="null3"/>
              <w:jc w:val="left"/>
            </w:pPr>
            <w:r>
              <w:rPr/>
              <w:t>1</w:t>
            </w:r>
          </w:p>
        </w:tc>
        <w:tc>
          <w:tcPr>
            <w:tcW w:type="dxa" w:w="2076"/>
          </w:tcPr>
          <w:p>
            <w:pPr>
              <w:pStyle w:val="null3"/>
              <w:jc w:val="left"/>
            </w:pPr>
            <w:r>
              <w:rPr/>
              <w:t>2025年执法系统运维服务</w:t>
            </w:r>
          </w:p>
        </w:tc>
        <w:tc>
          <w:tcPr>
            <w:tcW w:type="dxa" w:w="2076"/>
          </w:tcPr>
          <w:p>
            <w:pPr>
              <w:pStyle w:val="null3"/>
              <w:jc w:val="left"/>
            </w:pPr>
            <w:r>
              <w:rPr/>
              <w:t>福建省交通综合行政执法信息系统一期运维费</w:t>
            </w:r>
          </w:p>
        </w:tc>
        <w:tc>
          <w:tcPr>
            <w:tcW w:type="dxa" w:w="415"/>
          </w:tcPr>
          <w:p>
            <w:pPr>
              <w:pStyle w:val="null3"/>
              <w:jc w:val="left"/>
            </w:pPr>
            <w:r>
              <w:rPr/>
              <w:t>项</w:t>
            </w:r>
          </w:p>
        </w:tc>
        <w:tc>
          <w:tcPr>
            <w:tcW w:type="dxa" w:w="415"/>
          </w:tcPr>
          <w:p>
            <w:pPr>
              <w:pStyle w:val="null3"/>
              <w:jc w:val="left"/>
            </w:pPr>
            <w:r>
              <w:rPr/>
              <w:t>元</w:t>
            </w:r>
          </w:p>
        </w:tc>
        <w:tc>
          <w:tcPr>
            <w:tcW w:type="dxa" w:w="831"/>
          </w:tcPr>
          <w:p>
            <w:pPr>
              <w:pStyle w:val="null3"/>
              <w:jc w:val="right"/>
            </w:pPr>
            <w:r>
              <w:rPr/>
              <w:t>101,000.00</w:t>
            </w:r>
          </w:p>
        </w:tc>
        <w:tc>
          <w:tcPr>
            <w:tcW w:type="dxa" w:w="831"/>
          </w:tcPr>
          <w:p>
            <w:pPr>
              <w:pStyle w:val="null3"/>
              <w:jc w:val="left"/>
            </w:pPr>
            <w:r>
              <w:rPr/>
              <w:t>总价</w:t>
            </w:r>
          </w:p>
        </w:tc>
        <w:tc>
          <w:tcPr>
            <w:tcW w:type="dxa" w:w="1246"/>
          </w:tcPr>
          <w:p>
            <w:pPr>
              <w:pStyle w:val="null3"/>
              <w:jc w:val="left"/>
            </w:pPr>
            <w:r>
              <w:rPr/>
              <w:t>福建省交通综合行政执法信息系统一期运维费用101000元，共有77个功能点，拟保留54个。具体详见《交通执法信息系统功能点（拟保留和停止运维）汇总》1-77项，单个功能点计费以投标人一期运维的投标报价除以54作为功能点计费单价；本项目采用按实结算，以单个功能点的价格乘以保留功能点数。</w:t>
            </w:r>
          </w:p>
        </w:tc>
      </w:tr>
      <w:tr>
        <w:tc>
          <w:tcPr>
            <w:tcW w:type="dxa" w:w="415"/>
          </w:tcPr>
          <w:p>
            <w:pPr>
              <w:pStyle w:val="null3"/>
              <w:jc w:val="left"/>
            </w:pPr>
            <w:r>
              <w:rPr/>
              <w:t>2</w:t>
            </w:r>
          </w:p>
        </w:tc>
        <w:tc>
          <w:tcPr>
            <w:tcW w:type="dxa" w:w="2076"/>
          </w:tcPr>
          <w:p>
            <w:pPr>
              <w:pStyle w:val="null3"/>
              <w:jc w:val="left"/>
            </w:pPr>
            <w:r>
              <w:rPr/>
              <w:t>2025年执法系统运维服务</w:t>
            </w:r>
          </w:p>
        </w:tc>
        <w:tc>
          <w:tcPr>
            <w:tcW w:type="dxa" w:w="2076"/>
          </w:tcPr>
          <w:p>
            <w:pPr>
              <w:pStyle w:val="null3"/>
              <w:jc w:val="left"/>
            </w:pPr>
            <w:r>
              <w:rPr/>
              <w:t>福建省交通综合行政执法信息系统二期运维费</w:t>
            </w:r>
          </w:p>
        </w:tc>
        <w:tc>
          <w:tcPr>
            <w:tcW w:type="dxa" w:w="415"/>
          </w:tcPr>
          <w:p>
            <w:pPr>
              <w:pStyle w:val="null3"/>
              <w:jc w:val="left"/>
            </w:pPr>
            <w:r>
              <w:rPr/>
              <w:t>项</w:t>
            </w:r>
          </w:p>
        </w:tc>
        <w:tc>
          <w:tcPr>
            <w:tcW w:type="dxa" w:w="415"/>
          </w:tcPr>
          <w:p>
            <w:pPr>
              <w:pStyle w:val="null3"/>
              <w:jc w:val="left"/>
            </w:pPr>
            <w:r>
              <w:rPr/>
              <w:t>元</w:t>
            </w:r>
          </w:p>
        </w:tc>
        <w:tc>
          <w:tcPr>
            <w:tcW w:type="dxa" w:w="831"/>
          </w:tcPr>
          <w:p>
            <w:pPr>
              <w:pStyle w:val="null3"/>
              <w:jc w:val="right"/>
            </w:pPr>
            <w:r>
              <w:rPr/>
              <w:t>106,000.00</w:t>
            </w:r>
          </w:p>
        </w:tc>
        <w:tc>
          <w:tcPr>
            <w:tcW w:type="dxa" w:w="831"/>
          </w:tcPr>
          <w:p>
            <w:pPr>
              <w:pStyle w:val="null3"/>
              <w:jc w:val="left"/>
            </w:pPr>
            <w:r>
              <w:rPr/>
              <w:t>总价</w:t>
            </w:r>
          </w:p>
        </w:tc>
        <w:tc>
          <w:tcPr>
            <w:tcW w:type="dxa" w:w="1246"/>
          </w:tcPr>
          <w:p>
            <w:pPr>
              <w:pStyle w:val="null3"/>
              <w:jc w:val="left"/>
            </w:pPr>
            <w:r>
              <w:rPr/>
              <w:t>福建省交通综合行政执法信息系统二期运维费用106000元，共有181个功能点，拟保留56个。具体详见《交通执法信息系统功能点（拟保留和停止运维）汇总》78-258项，单个功能点计费以投标人二期运维的投标报价除以56作为功能点计费单价；本项目采用按实结算，以单个功能点的价格乘以保留功能点数。</w:t>
            </w:r>
          </w:p>
        </w:tc>
      </w:tr>
      <w:tr>
        <w:tc>
          <w:tcPr>
            <w:tcW w:type="dxa" w:w="415"/>
          </w:tcPr>
          <w:p>
            <w:pPr>
              <w:pStyle w:val="null3"/>
              <w:jc w:val="left"/>
            </w:pPr>
            <w:r>
              <w:rPr/>
              <w:t>3</w:t>
            </w:r>
          </w:p>
        </w:tc>
        <w:tc>
          <w:tcPr>
            <w:tcW w:type="dxa" w:w="2076"/>
          </w:tcPr>
          <w:p>
            <w:pPr>
              <w:pStyle w:val="null3"/>
              <w:jc w:val="left"/>
            </w:pPr>
            <w:r>
              <w:rPr/>
              <w:t>2025年执法系统运维服务</w:t>
            </w:r>
          </w:p>
        </w:tc>
        <w:tc>
          <w:tcPr>
            <w:tcW w:type="dxa" w:w="2076"/>
          </w:tcPr>
          <w:p>
            <w:pPr>
              <w:pStyle w:val="null3"/>
              <w:jc w:val="left"/>
            </w:pPr>
            <w:r>
              <w:rPr/>
              <w:t>福建省综交通合行政执法业务应用软件三期运维费</w:t>
            </w:r>
          </w:p>
        </w:tc>
        <w:tc>
          <w:tcPr>
            <w:tcW w:type="dxa" w:w="415"/>
          </w:tcPr>
          <w:p>
            <w:pPr>
              <w:pStyle w:val="null3"/>
              <w:jc w:val="left"/>
            </w:pPr>
            <w:r>
              <w:rPr/>
              <w:t>项</w:t>
            </w:r>
          </w:p>
        </w:tc>
        <w:tc>
          <w:tcPr>
            <w:tcW w:type="dxa" w:w="415"/>
          </w:tcPr>
          <w:p>
            <w:pPr>
              <w:pStyle w:val="null3"/>
              <w:jc w:val="left"/>
            </w:pPr>
            <w:r>
              <w:rPr/>
              <w:t>元</w:t>
            </w:r>
          </w:p>
        </w:tc>
        <w:tc>
          <w:tcPr>
            <w:tcW w:type="dxa" w:w="831"/>
          </w:tcPr>
          <w:p>
            <w:pPr>
              <w:pStyle w:val="null3"/>
              <w:jc w:val="right"/>
            </w:pPr>
            <w:r>
              <w:rPr/>
              <w:t>143,000.00</w:t>
            </w:r>
          </w:p>
        </w:tc>
        <w:tc>
          <w:tcPr>
            <w:tcW w:type="dxa" w:w="831"/>
          </w:tcPr>
          <w:p>
            <w:pPr>
              <w:pStyle w:val="null3"/>
              <w:jc w:val="left"/>
            </w:pPr>
            <w:r>
              <w:rPr/>
              <w:t>总价</w:t>
            </w:r>
          </w:p>
        </w:tc>
        <w:tc>
          <w:tcPr>
            <w:tcW w:type="dxa" w:w="1246"/>
          </w:tcPr>
          <w:p>
            <w:pPr>
              <w:pStyle w:val="null3"/>
              <w:jc w:val="left"/>
            </w:pPr>
            <w:r>
              <w:rPr/>
              <w:t>福建省交通综合行政执法信息系统三期运维费用143000元，共有70个功能点，拟保留28个。具体详见《交通执法信息系统功能点（拟保留和停止运维）汇总》259-337项，单个功能点计费以投标人三期运维的投标报价除以28作为功能点计费单价；本项目采用按实结算，以单个功能点的价格乘以保留功能点数。</w:t>
            </w:r>
          </w:p>
        </w:tc>
      </w:tr>
      <w:tr>
        <w:tc>
          <w:tcPr>
            <w:tcW w:type="dxa" w:w="415"/>
          </w:tcPr>
          <w:p>
            <w:pPr>
              <w:pStyle w:val="null3"/>
              <w:jc w:val="left"/>
            </w:pPr>
            <w:r>
              <w:rPr/>
              <w:t>4</w:t>
            </w:r>
          </w:p>
        </w:tc>
        <w:tc>
          <w:tcPr>
            <w:tcW w:type="dxa" w:w="2076"/>
          </w:tcPr>
          <w:p>
            <w:pPr>
              <w:pStyle w:val="null3"/>
              <w:jc w:val="left"/>
            </w:pPr>
            <w:r>
              <w:rPr/>
              <w:t>2025年执法系统运维服务</w:t>
            </w:r>
          </w:p>
        </w:tc>
        <w:tc>
          <w:tcPr>
            <w:tcW w:type="dxa" w:w="2076"/>
          </w:tcPr>
          <w:p>
            <w:pPr>
              <w:pStyle w:val="null3"/>
              <w:jc w:val="left"/>
            </w:pPr>
            <w:r>
              <w:rPr/>
              <w:t>部治超平台</w:t>
            </w:r>
          </w:p>
        </w:tc>
        <w:tc>
          <w:tcPr>
            <w:tcW w:type="dxa" w:w="415"/>
          </w:tcPr>
          <w:p>
            <w:pPr>
              <w:pStyle w:val="null3"/>
              <w:jc w:val="left"/>
            </w:pPr>
            <w:r>
              <w:rPr/>
              <w:t>项</w:t>
            </w:r>
          </w:p>
        </w:tc>
        <w:tc>
          <w:tcPr>
            <w:tcW w:type="dxa" w:w="415"/>
          </w:tcPr>
          <w:p>
            <w:pPr>
              <w:pStyle w:val="null3"/>
              <w:jc w:val="left"/>
            </w:pPr>
            <w:r>
              <w:rPr/>
              <w:t>元</w:t>
            </w:r>
          </w:p>
        </w:tc>
        <w:tc>
          <w:tcPr>
            <w:tcW w:type="dxa" w:w="831"/>
          </w:tcPr>
          <w:p>
            <w:pPr>
              <w:pStyle w:val="null3"/>
              <w:jc w:val="right"/>
            </w:pPr>
            <w:r>
              <w:rPr/>
              <w:t>30,000.00</w:t>
            </w:r>
          </w:p>
        </w:tc>
        <w:tc>
          <w:tcPr>
            <w:tcW w:type="dxa" w:w="831"/>
          </w:tcPr>
          <w:p>
            <w:pPr>
              <w:pStyle w:val="null3"/>
              <w:jc w:val="left"/>
            </w:pPr>
            <w:r>
              <w:rPr/>
              <w:t>总价</w:t>
            </w:r>
          </w:p>
        </w:tc>
        <w:tc>
          <w:tcPr>
            <w:tcW w:type="dxa" w:w="1246"/>
          </w:tcPr>
          <w:p>
            <w:pPr>
              <w:pStyle w:val="null3"/>
              <w:jc w:val="left"/>
            </w:pPr>
            <w:r>
              <w:rPr/>
              <w:t>无</w:t>
            </w:r>
          </w:p>
        </w:tc>
      </w:tr>
      <w:tr>
        <w:tc>
          <w:tcPr>
            <w:tcW w:type="dxa" w:w="415"/>
          </w:tcPr>
          <w:p>
            <w:pPr>
              <w:pStyle w:val="null3"/>
              <w:jc w:val="left"/>
            </w:pPr>
            <w:r>
              <w:rPr/>
              <w:t>5</w:t>
            </w:r>
          </w:p>
        </w:tc>
        <w:tc>
          <w:tcPr>
            <w:tcW w:type="dxa" w:w="2076"/>
          </w:tcPr>
          <w:p>
            <w:pPr>
              <w:pStyle w:val="null3"/>
              <w:jc w:val="left"/>
            </w:pPr>
            <w:r>
              <w:rPr/>
              <w:t>2025年执法系统运维服务</w:t>
            </w:r>
          </w:p>
        </w:tc>
        <w:tc>
          <w:tcPr>
            <w:tcW w:type="dxa" w:w="2076"/>
          </w:tcPr>
          <w:p>
            <w:pPr>
              <w:pStyle w:val="null3"/>
              <w:jc w:val="left"/>
            </w:pPr>
            <w:r>
              <w:rPr/>
              <w:t>部执法案件数据交换平台</w:t>
            </w:r>
          </w:p>
        </w:tc>
        <w:tc>
          <w:tcPr>
            <w:tcW w:type="dxa" w:w="415"/>
          </w:tcPr>
          <w:p>
            <w:pPr>
              <w:pStyle w:val="null3"/>
              <w:jc w:val="left"/>
            </w:pPr>
            <w:r>
              <w:rPr/>
              <w:t>项</w:t>
            </w:r>
          </w:p>
        </w:tc>
        <w:tc>
          <w:tcPr>
            <w:tcW w:type="dxa" w:w="415"/>
          </w:tcPr>
          <w:p>
            <w:pPr>
              <w:pStyle w:val="null3"/>
              <w:jc w:val="left"/>
            </w:pPr>
            <w:r>
              <w:rPr/>
              <w:t>元</w:t>
            </w:r>
          </w:p>
        </w:tc>
        <w:tc>
          <w:tcPr>
            <w:tcW w:type="dxa" w:w="831"/>
          </w:tcPr>
          <w:p>
            <w:pPr>
              <w:pStyle w:val="null3"/>
              <w:jc w:val="right"/>
            </w:pPr>
            <w:r>
              <w:rPr/>
              <w:t>30,000.00</w:t>
            </w:r>
          </w:p>
        </w:tc>
        <w:tc>
          <w:tcPr>
            <w:tcW w:type="dxa" w:w="831"/>
          </w:tcPr>
          <w:p>
            <w:pPr>
              <w:pStyle w:val="null3"/>
              <w:jc w:val="left"/>
            </w:pPr>
            <w:r>
              <w:rPr/>
              <w:t>总价</w:t>
            </w:r>
          </w:p>
        </w:tc>
        <w:tc>
          <w:tcPr>
            <w:tcW w:type="dxa" w:w="1246"/>
          </w:tcPr>
          <w:p>
            <w:pPr>
              <w:pStyle w:val="null3"/>
              <w:jc w:val="left"/>
            </w:pPr>
            <w:r>
              <w:rPr/>
              <w:t>无</w:t>
            </w:r>
          </w:p>
        </w:tc>
      </w:tr>
      <w:tr>
        <w:tc>
          <w:tcPr>
            <w:tcW w:type="dxa" w:w="415"/>
          </w:tcPr>
          <w:p>
            <w:pPr>
              <w:pStyle w:val="null3"/>
              <w:jc w:val="left"/>
            </w:pPr>
            <w:r>
              <w:rPr/>
              <w:t>6</w:t>
            </w:r>
          </w:p>
        </w:tc>
        <w:tc>
          <w:tcPr>
            <w:tcW w:type="dxa" w:w="2076"/>
          </w:tcPr>
          <w:p>
            <w:pPr>
              <w:pStyle w:val="null3"/>
              <w:jc w:val="left"/>
            </w:pPr>
            <w:r>
              <w:rPr/>
              <w:t>2025年执法系统运维服务</w:t>
            </w:r>
          </w:p>
        </w:tc>
        <w:tc>
          <w:tcPr>
            <w:tcW w:type="dxa" w:w="2076"/>
          </w:tcPr>
          <w:p>
            <w:pPr>
              <w:pStyle w:val="null3"/>
              <w:jc w:val="left"/>
            </w:pPr>
            <w:r>
              <w:rPr/>
              <w:t>闽执法平台接口</w:t>
            </w:r>
          </w:p>
        </w:tc>
        <w:tc>
          <w:tcPr>
            <w:tcW w:type="dxa" w:w="415"/>
          </w:tcPr>
          <w:p>
            <w:pPr>
              <w:pStyle w:val="null3"/>
              <w:jc w:val="left"/>
            </w:pPr>
            <w:r>
              <w:rPr/>
              <w:t>项</w:t>
            </w:r>
          </w:p>
        </w:tc>
        <w:tc>
          <w:tcPr>
            <w:tcW w:type="dxa" w:w="415"/>
          </w:tcPr>
          <w:p>
            <w:pPr>
              <w:pStyle w:val="null3"/>
              <w:jc w:val="left"/>
            </w:pPr>
            <w:r>
              <w:rPr/>
              <w:t>元</w:t>
            </w:r>
          </w:p>
        </w:tc>
        <w:tc>
          <w:tcPr>
            <w:tcW w:type="dxa" w:w="831"/>
          </w:tcPr>
          <w:p>
            <w:pPr>
              <w:pStyle w:val="null3"/>
              <w:jc w:val="right"/>
            </w:pPr>
            <w:r>
              <w:rPr/>
              <w:t>30,000.00</w:t>
            </w:r>
          </w:p>
        </w:tc>
        <w:tc>
          <w:tcPr>
            <w:tcW w:type="dxa" w:w="831"/>
          </w:tcPr>
          <w:p>
            <w:pPr>
              <w:pStyle w:val="null3"/>
              <w:jc w:val="left"/>
            </w:pPr>
            <w:r>
              <w:rPr/>
              <w:t>总价</w:t>
            </w:r>
          </w:p>
        </w:tc>
        <w:tc>
          <w:tcPr>
            <w:tcW w:type="dxa" w:w="1246"/>
          </w:tcPr>
          <w:p>
            <w:pPr>
              <w:pStyle w:val="null3"/>
              <w:jc w:val="left"/>
            </w:pPr>
            <w:r>
              <w:rPr/>
              <w:t>无</w:t>
            </w:r>
          </w:p>
        </w:tc>
      </w:tr>
      <w:tr>
        <w:tc>
          <w:tcPr>
            <w:tcW w:type="dxa" w:w="415"/>
          </w:tcPr>
          <w:p>
            <w:pPr>
              <w:pStyle w:val="null3"/>
              <w:jc w:val="left"/>
            </w:pPr>
            <w:r>
              <w:rPr/>
              <w:t>7</w:t>
            </w:r>
          </w:p>
        </w:tc>
        <w:tc>
          <w:tcPr>
            <w:tcW w:type="dxa" w:w="2076"/>
          </w:tcPr>
          <w:p>
            <w:pPr>
              <w:pStyle w:val="null3"/>
              <w:jc w:val="left"/>
            </w:pPr>
            <w:r>
              <w:rPr/>
              <w:t>2025年执法系统运维服务</w:t>
            </w:r>
          </w:p>
        </w:tc>
        <w:tc>
          <w:tcPr>
            <w:tcW w:type="dxa" w:w="2076"/>
          </w:tcPr>
          <w:p>
            <w:pPr>
              <w:pStyle w:val="null3"/>
              <w:jc w:val="left"/>
            </w:pPr>
            <w:r>
              <w:rPr/>
              <w:t>厅TOCC可视化大屏平台接口</w:t>
            </w:r>
          </w:p>
        </w:tc>
        <w:tc>
          <w:tcPr>
            <w:tcW w:type="dxa" w:w="415"/>
          </w:tcPr>
          <w:p>
            <w:pPr>
              <w:pStyle w:val="null3"/>
              <w:jc w:val="left"/>
            </w:pPr>
            <w:r>
              <w:rPr/>
              <w:t>项</w:t>
            </w:r>
          </w:p>
        </w:tc>
        <w:tc>
          <w:tcPr>
            <w:tcW w:type="dxa" w:w="415"/>
          </w:tcPr>
          <w:p>
            <w:pPr>
              <w:pStyle w:val="null3"/>
              <w:jc w:val="left"/>
            </w:pPr>
            <w:r>
              <w:rPr/>
              <w:t>元</w:t>
            </w:r>
          </w:p>
        </w:tc>
        <w:tc>
          <w:tcPr>
            <w:tcW w:type="dxa" w:w="831"/>
          </w:tcPr>
          <w:p>
            <w:pPr>
              <w:pStyle w:val="null3"/>
              <w:jc w:val="right"/>
            </w:pPr>
            <w:r>
              <w:rPr/>
              <w:t>10,000.00</w:t>
            </w:r>
          </w:p>
        </w:tc>
        <w:tc>
          <w:tcPr>
            <w:tcW w:type="dxa" w:w="831"/>
          </w:tcPr>
          <w:p>
            <w:pPr>
              <w:pStyle w:val="null3"/>
              <w:jc w:val="left"/>
            </w:pPr>
            <w:r>
              <w:rPr/>
              <w:t>总价</w:t>
            </w:r>
          </w:p>
        </w:tc>
        <w:tc>
          <w:tcPr>
            <w:tcW w:type="dxa" w:w="1246"/>
          </w:tcPr>
          <w:p>
            <w:pPr>
              <w:pStyle w:val="null3"/>
              <w:jc w:val="left"/>
            </w:pPr>
            <w:r>
              <w:rPr/>
              <w:t>无</w:t>
            </w:r>
          </w:p>
        </w:tc>
      </w:tr>
    </w:tbl>
    <w:p>
      <w:pPr>
        <w:pStyle w:val="null3"/>
        <w:jc w:val="left"/>
      </w:pPr>
      <w:r>
        <w:rPr/>
        <w:t>采购包2：</w:t>
      </w:r>
    </w:p>
    <w:p>
      <w:pPr>
        <w:pStyle w:val="null3"/>
        <w:jc w:val="left"/>
      </w:pPr>
      <w:r>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t>序号</w:t>
            </w:r>
          </w:p>
        </w:tc>
        <w:tc>
          <w:tcPr>
            <w:tcW w:type="dxa" w:w="3046"/>
          </w:tcPr>
          <w:p>
            <w:pPr>
              <w:pStyle w:val="null3"/>
              <w:jc w:val="left"/>
            </w:pPr>
            <w:r>
              <w:rPr/>
              <w:t>报价内容</w:t>
            </w:r>
          </w:p>
        </w:tc>
        <w:tc>
          <w:tcPr>
            <w:tcW w:type="dxa" w:w="554"/>
          </w:tcPr>
          <w:p>
            <w:pPr>
              <w:pStyle w:val="null3"/>
              <w:jc w:val="left"/>
            </w:pPr>
            <w:r>
              <w:rPr/>
              <w:t>计量单位</w:t>
            </w:r>
          </w:p>
        </w:tc>
        <w:tc>
          <w:tcPr>
            <w:tcW w:type="dxa" w:w="554"/>
          </w:tcPr>
          <w:p>
            <w:pPr>
              <w:pStyle w:val="null3"/>
              <w:jc w:val="left"/>
            </w:pPr>
            <w:r>
              <w:rPr/>
              <w:t>报价单位</w:t>
            </w:r>
          </w:p>
        </w:tc>
        <w:tc>
          <w:tcPr>
            <w:tcW w:type="dxa" w:w="1384"/>
          </w:tcPr>
          <w:p>
            <w:pPr>
              <w:pStyle w:val="null3"/>
              <w:jc w:val="left"/>
            </w:pPr>
            <w:r>
              <w:rPr/>
              <w:t>最高限价</w:t>
            </w:r>
          </w:p>
        </w:tc>
        <w:tc>
          <w:tcPr>
            <w:tcW w:type="dxa" w:w="1384"/>
          </w:tcPr>
          <w:p>
            <w:pPr>
              <w:pStyle w:val="null3"/>
              <w:jc w:val="left"/>
            </w:pPr>
            <w:r>
              <w:rPr/>
              <w:t>价款形式</w:t>
            </w:r>
          </w:p>
        </w:tc>
        <w:tc>
          <w:tcPr>
            <w:tcW w:type="dxa" w:w="1038"/>
          </w:tcPr>
          <w:p>
            <w:pPr>
              <w:pStyle w:val="null3"/>
              <w:jc w:val="left"/>
            </w:pPr>
            <w:r>
              <w:rPr/>
              <w:t>报价说明</w:t>
            </w:r>
          </w:p>
        </w:tc>
      </w:tr>
      <w:tr>
        <w:tc>
          <w:tcPr>
            <w:tcW w:type="dxa" w:w="346"/>
          </w:tcPr>
          <w:p>
            <w:pPr>
              <w:pStyle w:val="null3"/>
              <w:jc w:val="left"/>
            </w:pPr>
            <w:r>
              <w:rPr/>
              <w:t>1</w:t>
            </w:r>
          </w:p>
        </w:tc>
        <w:tc>
          <w:tcPr>
            <w:tcW w:type="dxa" w:w="3046"/>
          </w:tcPr>
          <w:p>
            <w:pPr>
              <w:pStyle w:val="null3"/>
              <w:jc w:val="left"/>
            </w:pPr>
            <w:r>
              <w:rPr/>
              <w:t>2025年办公信息化运维服务</w:t>
            </w:r>
          </w:p>
        </w:tc>
        <w:tc>
          <w:tcPr>
            <w:tcW w:type="dxa" w:w="554"/>
          </w:tcPr>
          <w:p>
            <w:pPr>
              <w:pStyle w:val="null3"/>
              <w:jc w:val="left"/>
            </w:pPr>
            <w:r>
              <w:rPr/>
              <w:t>项目</w:t>
            </w:r>
          </w:p>
        </w:tc>
        <w:tc>
          <w:tcPr>
            <w:tcW w:type="dxa" w:w="554"/>
          </w:tcPr>
          <w:p>
            <w:pPr>
              <w:pStyle w:val="null3"/>
              <w:jc w:val="left"/>
            </w:pPr>
            <w:r>
              <w:rPr/>
              <w:t>元</w:t>
            </w:r>
          </w:p>
        </w:tc>
        <w:tc>
          <w:tcPr>
            <w:tcW w:type="dxa" w:w="1384"/>
          </w:tcPr>
          <w:p>
            <w:pPr>
              <w:pStyle w:val="null3"/>
              <w:jc w:val="right"/>
            </w:pPr>
            <w:r>
              <w:rPr/>
              <w:t>400,000.00</w:t>
            </w:r>
          </w:p>
        </w:tc>
        <w:tc>
          <w:tcPr>
            <w:tcW w:type="dxa" w:w="1384"/>
          </w:tcPr>
          <w:p>
            <w:pPr>
              <w:pStyle w:val="null3"/>
              <w:jc w:val="left"/>
            </w:pPr>
            <w:r>
              <w:rPr/>
              <w:t>总价</w:t>
            </w:r>
          </w:p>
        </w:tc>
        <w:tc>
          <w:tcPr>
            <w:tcW w:type="dxa" w:w="1038"/>
          </w:tcPr>
          <w:p>
            <w:pPr>
              <w:pStyle w:val="null3"/>
              <w:jc w:val="left"/>
            </w:pPr>
            <w:r>
              <w:rPr/>
              <w:t>无</w:t>
            </w:r>
          </w:p>
        </w:tc>
      </w:tr>
    </w:tbl>
    <w:p>
      <w:pPr>
        <w:pStyle w:val="null3"/>
        <w:jc w:val="left"/>
      </w:pPr>
      <w:r>
        <w:rPr/>
        <w:t>（2）报价明细要求：</w:t>
      </w:r>
    </w:p>
    <w:p>
      <w:pPr>
        <w:pStyle w:val="null3"/>
        <w:jc w:val="left"/>
      </w:pPr>
      <w:r>
        <w:rPr/>
        <w:t>2025年办公信息化运维服务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t>序号</w:t>
            </w:r>
          </w:p>
        </w:tc>
        <w:tc>
          <w:tcPr>
            <w:tcW w:type="dxa" w:w="2076"/>
          </w:tcPr>
          <w:p>
            <w:pPr>
              <w:pStyle w:val="null3"/>
              <w:jc w:val="left"/>
            </w:pPr>
            <w:r>
              <w:rPr/>
              <w:t>报价明细内容</w:t>
            </w:r>
          </w:p>
        </w:tc>
        <w:tc>
          <w:tcPr>
            <w:tcW w:type="dxa" w:w="2076"/>
          </w:tcPr>
          <w:p>
            <w:pPr>
              <w:pStyle w:val="null3"/>
              <w:jc w:val="left"/>
            </w:pPr>
            <w:r>
              <w:rPr/>
              <w:t>报价要求</w:t>
            </w:r>
          </w:p>
        </w:tc>
        <w:tc>
          <w:tcPr>
            <w:tcW w:type="dxa" w:w="415"/>
          </w:tcPr>
          <w:p>
            <w:pPr>
              <w:pStyle w:val="null3"/>
              <w:jc w:val="left"/>
            </w:pPr>
            <w:r>
              <w:rPr/>
              <w:t>计量单位</w:t>
            </w:r>
          </w:p>
        </w:tc>
        <w:tc>
          <w:tcPr>
            <w:tcW w:type="dxa" w:w="415"/>
          </w:tcPr>
          <w:p>
            <w:pPr>
              <w:pStyle w:val="null3"/>
              <w:jc w:val="left"/>
            </w:pPr>
            <w:r>
              <w:rPr/>
              <w:t>报价单位</w:t>
            </w:r>
          </w:p>
        </w:tc>
        <w:tc>
          <w:tcPr>
            <w:tcW w:type="dxa" w:w="831"/>
          </w:tcPr>
          <w:p>
            <w:pPr>
              <w:pStyle w:val="null3"/>
              <w:jc w:val="left"/>
            </w:pPr>
            <w:r>
              <w:rPr/>
              <w:t>最高限价</w:t>
            </w:r>
          </w:p>
        </w:tc>
        <w:tc>
          <w:tcPr>
            <w:tcW w:type="dxa" w:w="831"/>
          </w:tcPr>
          <w:p>
            <w:pPr>
              <w:pStyle w:val="null3"/>
              <w:jc w:val="left"/>
            </w:pPr>
            <w:r>
              <w:rPr/>
              <w:t>价款形式</w:t>
            </w:r>
          </w:p>
        </w:tc>
        <w:tc>
          <w:tcPr>
            <w:tcW w:type="dxa" w:w="1246"/>
          </w:tcPr>
          <w:p>
            <w:pPr>
              <w:pStyle w:val="null3"/>
              <w:jc w:val="left"/>
            </w:pPr>
            <w:r>
              <w:rPr/>
              <w:t>报价说明</w:t>
            </w:r>
          </w:p>
        </w:tc>
      </w:tr>
      <w:tr>
        <w:tc>
          <w:tcPr>
            <w:tcW w:type="dxa" w:w="415"/>
          </w:tcPr>
          <w:p>
            <w:pPr>
              <w:pStyle w:val="null3"/>
              <w:jc w:val="left"/>
            </w:pPr>
            <w:r>
              <w:rPr/>
              <w:t>1</w:t>
            </w:r>
          </w:p>
        </w:tc>
        <w:tc>
          <w:tcPr>
            <w:tcW w:type="dxa" w:w="2076"/>
          </w:tcPr>
          <w:p>
            <w:pPr>
              <w:pStyle w:val="null3"/>
              <w:jc w:val="left"/>
            </w:pPr>
            <w:r>
              <w:rPr/>
              <w:t>2025年办公信息化运维服务</w:t>
            </w:r>
          </w:p>
        </w:tc>
        <w:tc>
          <w:tcPr>
            <w:tcW w:type="dxa" w:w="2076"/>
          </w:tcPr>
          <w:p>
            <w:pPr>
              <w:pStyle w:val="null3"/>
              <w:jc w:val="left"/>
            </w:pPr>
            <w:r>
              <w:rPr/>
              <w:t>中心日常信息化运维</w:t>
            </w:r>
          </w:p>
        </w:tc>
        <w:tc>
          <w:tcPr>
            <w:tcW w:type="dxa" w:w="415"/>
          </w:tcPr>
          <w:p>
            <w:pPr>
              <w:pStyle w:val="null3"/>
              <w:jc w:val="left"/>
            </w:pPr>
            <w:r>
              <w:rPr/>
              <w:t>项目</w:t>
            </w:r>
          </w:p>
        </w:tc>
        <w:tc>
          <w:tcPr>
            <w:tcW w:type="dxa" w:w="415"/>
          </w:tcPr>
          <w:p>
            <w:pPr>
              <w:pStyle w:val="null3"/>
              <w:jc w:val="left"/>
            </w:pPr>
            <w:r>
              <w:rPr/>
              <w:t>元</w:t>
            </w:r>
          </w:p>
        </w:tc>
        <w:tc>
          <w:tcPr>
            <w:tcW w:type="dxa" w:w="831"/>
          </w:tcPr>
          <w:p>
            <w:pPr>
              <w:pStyle w:val="null3"/>
              <w:jc w:val="right"/>
            </w:pPr>
            <w:r>
              <w:rPr/>
              <w:t>150,000.00</w:t>
            </w:r>
          </w:p>
        </w:tc>
        <w:tc>
          <w:tcPr>
            <w:tcW w:type="dxa" w:w="831"/>
          </w:tcPr>
          <w:p>
            <w:pPr>
              <w:pStyle w:val="null3"/>
              <w:jc w:val="left"/>
            </w:pPr>
            <w:r>
              <w:rPr/>
              <w:t>总价</w:t>
            </w:r>
          </w:p>
        </w:tc>
        <w:tc>
          <w:tcPr>
            <w:tcW w:type="dxa" w:w="1246"/>
          </w:tcPr>
          <w:p>
            <w:pPr>
              <w:pStyle w:val="null3"/>
              <w:jc w:val="left"/>
            </w:pPr>
            <w:r>
              <w:rPr/>
              <w:t>无</w:t>
            </w:r>
          </w:p>
        </w:tc>
      </w:tr>
      <w:tr>
        <w:tc>
          <w:tcPr>
            <w:tcW w:type="dxa" w:w="415"/>
          </w:tcPr>
          <w:p>
            <w:pPr>
              <w:pStyle w:val="null3"/>
              <w:jc w:val="left"/>
            </w:pPr>
            <w:r>
              <w:rPr/>
              <w:t>2</w:t>
            </w:r>
          </w:p>
        </w:tc>
        <w:tc>
          <w:tcPr>
            <w:tcW w:type="dxa" w:w="2076"/>
          </w:tcPr>
          <w:p>
            <w:pPr>
              <w:pStyle w:val="null3"/>
              <w:jc w:val="left"/>
            </w:pPr>
            <w:r>
              <w:rPr/>
              <w:t>2025年办公信息化运维服务</w:t>
            </w:r>
          </w:p>
        </w:tc>
        <w:tc>
          <w:tcPr>
            <w:tcW w:type="dxa" w:w="2076"/>
          </w:tcPr>
          <w:p>
            <w:pPr>
              <w:pStyle w:val="null3"/>
              <w:jc w:val="left"/>
            </w:pPr>
            <w:r>
              <w:rPr/>
              <w:t>中心OA系统日常运维</w:t>
            </w:r>
          </w:p>
        </w:tc>
        <w:tc>
          <w:tcPr>
            <w:tcW w:type="dxa" w:w="415"/>
          </w:tcPr>
          <w:p>
            <w:pPr>
              <w:pStyle w:val="null3"/>
              <w:jc w:val="left"/>
            </w:pPr>
            <w:r>
              <w:rPr/>
              <w:t>项</w:t>
            </w:r>
          </w:p>
        </w:tc>
        <w:tc>
          <w:tcPr>
            <w:tcW w:type="dxa" w:w="415"/>
          </w:tcPr>
          <w:p>
            <w:pPr>
              <w:pStyle w:val="null3"/>
              <w:jc w:val="left"/>
            </w:pPr>
            <w:r>
              <w:rPr/>
              <w:t>元</w:t>
            </w:r>
          </w:p>
        </w:tc>
        <w:tc>
          <w:tcPr>
            <w:tcW w:type="dxa" w:w="831"/>
          </w:tcPr>
          <w:p>
            <w:pPr>
              <w:pStyle w:val="null3"/>
              <w:jc w:val="right"/>
            </w:pPr>
            <w:r>
              <w:rPr/>
              <w:t>50,000.00</w:t>
            </w:r>
          </w:p>
        </w:tc>
        <w:tc>
          <w:tcPr>
            <w:tcW w:type="dxa" w:w="831"/>
          </w:tcPr>
          <w:p>
            <w:pPr>
              <w:pStyle w:val="null3"/>
              <w:jc w:val="left"/>
            </w:pPr>
            <w:r>
              <w:rPr/>
              <w:t>总价</w:t>
            </w:r>
          </w:p>
        </w:tc>
        <w:tc>
          <w:tcPr>
            <w:tcW w:type="dxa" w:w="1246"/>
          </w:tcPr>
          <w:p>
            <w:pPr>
              <w:pStyle w:val="null3"/>
              <w:jc w:val="left"/>
            </w:pPr>
            <w:r>
              <w:rPr/>
              <w:t>无</w:t>
            </w:r>
          </w:p>
        </w:tc>
      </w:tr>
      <w:tr>
        <w:tc>
          <w:tcPr>
            <w:tcW w:type="dxa" w:w="415"/>
          </w:tcPr>
          <w:p>
            <w:pPr>
              <w:pStyle w:val="null3"/>
              <w:jc w:val="left"/>
            </w:pPr>
            <w:r>
              <w:rPr/>
              <w:t>3</w:t>
            </w:r>
          </w:p>
        </w:tc>
        <w:tc>
          <w:tcPr>
            <w:tcW w:type="dxa" w:w="2076"/>
          </w:tcPr>
          <w:p>
            <w:pPr>
              <w:pStyle w:val="null3"/>
              <w:jc w:val="left"/>
            </w:pPr>
            <w:r>
              <w:rPr/>
              <w:t>2025年办公信息化运维服务</w:t>
            </w:r>
          </w:p>
        </w:tc>
        <w:tc>
          <w:tcPr>
            <w:tcW w:type="dxa" w:w="2076"/>
          </w:tcPr>
          <w:p>
            <w:pPr>
              <w:pStyle w:val="null3"/>
              <w:jc w:val="left"/>
            </w:pPr>
            <w:r>
              <w:rPr/>
              <w:t>一体化协同办公平台软件服务及数据迁移</w:t>
            </w:r>
          </w:p>
        </w:tc>
        <w:tc>
          <w:tcPr>
            <w:tcW w:type="dxa" w:w="415"/>
          </w:tcPr>
          <w:p>
            <w:pPr>
              <w:pStyle w:val="null3"/>
              <w:jc w:val="left"/>
            </w:pPr>
            <w:r>
              <w:rPr/>
              <w:t>项</w:t>
            </w:r>
          </w:p>
        </w:tc>
        <w:tc>
          <w:tcPr>
            <w:tcW w:type="dxa" w:w="415"/>
          </w:tcPr>
          <w:p>
            <w:pPr>
              <w:pStyle w:val="null3"/>
              <w:jc w:val="left"/>
            </w:pPr>
            <w:r>
              <w:rPr/>
              <w:t>元</w:t>
            </w:r>
          </w:p>
        </w:tc>
        <w:tc>
          <w:tcPr>
            <w:tcW w:type="dxa" w:w="831"/>
          </w:tcPr>
          <w:p>
            <w:pPr>
              <w:pStyle w:val="null3"/>
              <w:jc w:val="right"/>
            </w:pPr>
            <w:r>
              <w:rPr/>
              <w:t>100,000.00</w:t>
            </w:r>
          </w:p>
        </w:tc>
        <w:tc>
          <w:tcPr>
            <w:tcW w:type="dxa" w:w="831"/>
          </w:tcPr>
          <w:p>
            <w:pPr>
              <w:pStyle w:val="null3"/>
              <w:jc w:val="left"/>
            </w:pPr>
            <w:r>
              <w:rPr/>
              <w:t>总价</w:t>
            </w:r>
          </w:p>
        </w:tc>
        <w:tc>
          <w:tcPr>
            <w:tcW w:type="dxa" w:w="1246"/>
          </w:tcPr>
          <w:p>
            <w:pPr>
              <w:pStyle w:val="null3"/>
              <w:jc w:val="left"/>
            </w:pPr>
            <w:r>
              <w:rPr/>
              <w:t>无</w:t>
            </w:r>
          </w:p>
        </w:tc>
      </w:tr>
      <w:tr>
        <w:tc>
          <w:tcPr>
            <w:tcW w:type="dxa" w:w="415"/>
          </w:tcPr>
          <w:p>
            <w:pPr>
              <w:pStyle w:val="null3"/>
              <w:jc w:val="left"/>
            </w:pPr>
            <w:r>
              <w:rPr/>
              <w:t>4</w:t>
            </w:r>
          </w:p>
        </w:tc>
        <w:tc>
          <w:tcPr>
            <w:tcW w:type="dxa" w:w="2076"/>
          </w:tcPr>
          <w:p>
            <w:pPr>
              <w:pStyle w:val="null3"/>
              <w:jc w:val="left"/>
            </w:pPr>
            <w:r>
              <w:rPr/>
              <w:t>2025年办公信息化运维服务</w:t>
            </w:r>
          </w:p>
        </w:tc>
        <w:tc>
          <w:tcPr>
            <w:tcW w:type="dxa" w:w="2076"/>
          </w:tcPr>
          <w:p>
            <w:pPr>
              <w:pStyle w:val="null3"/>
              <w:jc w:val="left"/>
            </w:pPr>
            <w:r>
              <w:rPr/>
              <w:t>门户网站日常运行保障</w:t>
            </w:r>
          </w:p>
        </w:tc>
        <w:tc>
          <w:tcPr>
            <w:tcW w:type="dxa" w:w="415"/>
          </w:tcPr>
          <w:p>
            <w:pPr>
              <w:pStyle w:val="null3"/>
              <w:jc w:val="left"/>
            </w:pPr>
            <w:r>
              <w:rPr/>
              <w:t>项</w:t>
            </w:r>
          </w:p>
        </w:tc>
        <w:tc>
          <w:tcPr>
            <w:tcW w:type="dxa" w:w="415"/>
          </w:tcPr>
          <w:p>
            <w:pPr>
              <w:pStyle w:val="null3"/>
              <w:jc w:val="left"/>
            </w:pPr>
            <w:r>
              <w:rPr/>
              <w:t>元</w:t>
            </w:r>
          </w:p>
        </w:tc>
        <w:tc>
          <w:tcPr>
            <w:tcW w:type="dxa" w:w="831"/>
          </w:tcPr>
          <w:p>
            <w:pPr>
              <w:pStyle w:val="null3"/>
              <w:jc w:val="right"/>
            </w:pPr>
            <w:r>
              <w:rPr/>
              <w:t>50,000.00</w:t>
            </w:r>
          </w:p>
        </w:tc>
        <w:tc>
          <w:tcPr>
            <w:tcW w:type="dxa" w:w="831"/>
          </w:tcPr>
          <w:p>
            <w:pPr>
              <w:pStyle w:val="null3"/>
              <w:jc w:val="left"/>
            </w:pPr>
            <w:r>
              <w:rPr/>
              <w:t>总价</w:t>
            </w:r>
          </w:p>
        </w:tc>
        <w:tc>
          <w:tcPr>
            <w:tcW w:type="dxa" w:w="1246"/>
          </w:tcPr>
          <w:p>
            <w:pPr>
              <w:pStyle w:val="null3"/>
              <w:jc w:val="left"/>
            </w:pPr>
            <w:r>
              <w:rPr/>
              <w:t>无</w:t>
            </w:r>
          </w:p>
        </w:tc>
      </w:tr>
      <w:tr>
        <w:tc>
          <w:tcPr>
            <w:tcW w:type="dxa" w:w="415"/>
          </w:tcPr>
          <w:p>
            <w:pPr>
              <w:pStyle w:val="null3"/>
              <w:jc w:val="left"/>
            </w:pPr>
            <w:r>
              <w:rPr/>
              <w:t>5</w:t>
            </w:r>
          </w:p>
        </w:tc>
        <w:tc>
          <w:tcPr>
            <w:tcW w:type="dxa" w:w="2076"/>
          </w:tcPr>
          <w:p>
            <w:pPr>
              <w:pStyle w:val="null3"/>
              <w:jc w:val="left"/>
            </w:pPr>
            <w:r>
              <w:rPr/>
              <w:t>2025年办公信息化运维服务</w:t>
            </w:r>
          </w:p>
        </w:tc>
        <w:tc>
          <w:tcPr>
            <w:tcW w:type="dxa" w:w="2076"/>
          </w:tcPr>
          <w:p>
            <w:pPr>
              <w:pStyle w:val="null3"/>
              <w:jc w:val="left"/>
            </w:pPr>
            <w:r>
              <w:rPr/>
              <w:t>网站安全运维</w:t>
            </w:r>
          </w:p>
        </w:tc>
        <w:tc>
          <w:tcPr>
            <w:tcW w:type="dxa" w:w="415"/>
          </w:tcPr>
          <w:p>
            <w:pPr>
              <w:pStyle w:val="null3"/>
              <w:jc w:val="left"/>
            </w:pPr>
            <w:r>
              <w:rPr/>
              <w:t>项</w:t>
            </w:r>
          </w:p>
        </w:tc>
        <w:tc>
          <w:tcPr>
            <w:tcW w:type="dxa" w:w="415"/>
          </w:tcPr>
          <w:p>
            <w:pPr>
              <w:pStyle w:val="null3"/>
              <w:jc w:val="left"/>
            </w:pPr>
            <w:r>
              <w:rPr/>
              <w:t>元</w:t>
            </w:r>
          </w:p>
        </w:tc>
        <w:tc>
          <w:tcPr>
            <w:tcW w:type="dxa" w:w="831"/>
          </w:tcPr>
          <w:p>
            <w:pPr>
              <w:pStyle w:val="null3"/>
              <w:jc w:val="right"/>
            </w:pPr>
            <w:r>
              <w:rPr/>
              <w:t>50,000.00</w:t>
            </w:r>
          </w:p>
        </w:tc>
        <w:tc>
          <w:tcPr>
            <w:tcW w:type="dxa" w:w="831"/>
          </w:tcPr>
          <w:p>
            <w:pPr>
              <w:pStyle w:val="null3"/>
              <w:jc w:val="left"/>
            </w:pPr>
            <w:r>
              <w:rPr/>
              <w:t>总价</w:t>
            </w:r>
          </w:p>
        </w:tc>
        <w:tc>
          <w:tcPr>
            <w:tcW w:type="dxa" w:w="1246"/>
          </w:tcPr>
          <w:p>
            <w:pPr>
              <w:pStyle w:val="null3"/>
              <w:jc w:val="left"/>
            </w:pPr>
            <w:r>
              <w:rPr/>
              <w:t>无</w:t>
            </w:r>
          </w:p>
        </w:tc>
      </w:tr>
    </w:tbl>
    <w:p>
      <w:pPr>
        <w:pStyle w:val="null3"/>
        <w:jc w:val="left"/>
      </w:pPr>
      <w:r>
        <w:rPr/>
        <w:t>采购包3：</w:t>
      </w:r>
    </w:p>
    <w:p>
      <w:pPr>
        <w:pStyle w:val="null3"/>
        <w:jc w:val="left"/>
      </w:pPr>
      <w:r>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t>序号</w:t>
            </w:r>
          </w:p>
        </w:tc>
        <w:tc>
          <w:tcPr>
            <w:tcW w:type="dxa" w:w="3046"/>
          </w:tcPr>
          <w:p>
            <w:pPr>
              <w:pStyle w:val="null3"/>
              <w:jc w:val="left"/>
            </w:pPr>
            <w:r>
              <w:rPr/>
              <w:t>报价内容</w:t>
            </w:r>
          </w:p>
        </w:tc>
        <w:tc>
          <w:tcPr>
            <w:tcW w:type="dxa" w:w="554"/>
          </w:tcPr>
          <w:p>
            <w:pPr>
              <w:pStyle w:val="null3"/>
              <w:jc w:val="left"/>
            </w:pPr>
            <w:r>
              <w:rPr/>
              <w:t>计量单位</w:t>
            </w:r>
          </w:p>
        </w:tc>
        <w:tc>
          <w:tcPr>
            <w:tcW w:type="dxa" w:w="554"/>
          </w:tcPr>
          <w:p>
            <w:pPr>
              <w:pStyle w:val="null3"/>
              <w:jc w:val="left"/>
            </w:pPr>
            <w:r>
              <w:rPr/>
              <w:t>报价单位</w:t>
            </w:r>
          </w:p>
        </w:tc>
        <w:tc>
          <w:tcPr>
            <w:tcW w:type="dxa" w:w="1384"/>
          </w:tcPr>
          <w:p>
            <w:pPr>
              <w:pStyle w:val="null3"/>
              <w:jc w:val="left"/>
            </w:pPr>
            <w:r>
              <w:rPr/>
              <w:t>最高限价</w:t>
            </w:r>
          </w:p>
        </w:tc>
        <w:tc>
          <w:tcPr>
            <w:tcW w:type="dxa" w:w="1384"/>
          </w:tcPr>
          <w:p>
            <w:pPr>
              <w:pStyle w:val="null3"/>
              <w:jc w:val="left"/>
            </w:pPr>
            <w:r>
              <w:rPr/>
              <w:t>价款形式</w:t>
            </w:r>
          </w:p>
        </w:tc>
        <w:tc>
          <w:tcPr>
            <w:tcW w:type="dxa" w:w="1038"/>
          </w:tcPr>
          <w:p>
            <w:pPr>
              <w:pStyle w:val="null3"/>
              <w:jc w:val="left"/>
            </w:pPr>
            <w:r>
              <w:rPr/>
              <w:t>报价说明</w:t>
            </w:r>
          </w:p>
        </w:tc>
      </w:tr>
      <w:tr>
        <w:tc>
          <w:tcPr>
            <w:tcW w:type="dxa" w:w="346"/>
          </w:tcPr>
          <w:p>
            <w:pPr>
              <w:pStyle w:val="null3"/>
              <w:jc w:val="left"/>
            </w:pPr>
            <w:r>
              <w:rPr/>
              <w:t>1</w:t>
            </w:r>
          </w:p>
        </w:tc>
        <w:tc>
          <w:tcPr>
            <w:tcW w:type="dxa" w:w="3046"/>
          </w:tcPr>
          <w:p>
            <w:pPr>
              <w:pStyle w:val="null3"/>
              <w:jc w:val="left"/>
            </w:pPr>
            <w:r>
              <w:rPr/>
              <w:t>2025年网络与信息系统安全服务</w:t>
            </w:r>
          </w:p>
        </w:tc>
        <w:tc>
          <w:tcPr>
            <w:tcW w:type="dxa" w:w="554"/>
          </w:tcPr>
          <w:p>
            <w:pPr>
              <w:pStyle w:val="null3"/>
              <w:jc w:val="left"/>
            </w:pPr>
            <w:r>
              <w:rPr/>
              <w:t>项</w:t>
            </w:r>
          </w:p>
        </w:tc>
        <w:tc>
          <w:tcPr>
            <w:tcW w:type="dxa" w:w="554"/>
          </w:tcPr>
          <w:p>
            <w:pPr>
              <w:pStyle w:val="null3"/>
              <w:jc w:val="left"/>
            </w:pPr>
            <w:r>
              <w:rPr/>
              <w:t>元</w:t>
            </w:r>
          </w:p>
        </w:tc>
        <w:tc>
          <w:tcPr>
            <w:tcW w:type="dxa" w:w="1384"/>
          </w:tcPr>
          <w:p>
            <w:pPr>
              <w:pStyle w:val="null3"/>
              <w:jc w:val="right"/>
            </w:pPr>
            <w:r>
              <w:rPr/>
              <w:t>500,000.00</w:t>
            </w:r>
          </w:p>
        </w:tc>
        <w:tc>
          <w:tcPr>
            <w:tcW w:type="dxa" w:w="1384"/>
          </w:tcPr>
          <w:p>
            <w:pPr>
              <w:pStyle w:val="null3"/>
              <w:jc w:val="left"/>
            </w:pPr>
            <w:r>
              <w:rPr/>
              <w:t>总价</w:t>
            </w:r>
          </w:p>
        </w:tc>
        <w:tc>
          <w:tcPr>
            <w:tcW w:type="dxa" w:w="1038"/>
          </w:tcPr>
          <w:p>
            <w:pPr>
              <w:pStyle w:val="null3"/>
              <w:jc w:val="left"/>
            </w:pPr>
            <w:r>
              <w:rPr/>
              <w:t>无</w:t>
            </w:r>
          </w:p>
        </w:tc>
      </w:tr>
    </w:tbl>
    <w:p>
      <w:pPr>
        <w:pStyle w:val="null3"/>
        <w:jc w:val="left"/>
      </w:pPr>
      <w:r>
        <w:rPr/>
        <w:t>（2）报价明细要求：</w:t>
      </w:r>
    </w:p>
    <w:p>
      <w:pPr>
        <w:pStyle w:val="null3"/>
        <w:jc w:val="left"/>
      </w:pPr>
      <w:r>
        <w:rPr/>
        <w:t>2025年网络与信息系统安全服务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t>序号</w:t>
            </w:r>
          </w:p>
        </w:tc>
        <w:tc>
          <w:tcPr>
            <w:tcW w:type="dxa" w:w="2076"/>
          </w:tcPr>
          <w:p>
            <w:pPr>
              <w:pStyle w:val="null3"/>
              <w:jc w:val="left"/>
            </w:pPr>
            <w:r>
              <w:rPr/>
              <w:t>报价明细内容</w:t>
            </w:r>
          </w:p>
        </w:tc>
        <w:tc>
          <w:tcPr>
            <w:tcW w:type="dxa" w:w="2076"/>
          </w:tcPr>
          <w:p>
            <w:pPr>
              <w:pStyle w:val="null3"/>
              <w:jc w:val="left"/>
            </w:pPr>
            <w:r>
              <w:rPr/>
              <w:t>报价要求</w:t>
            </w:r>
          </w:p>
        </w:tc>
        <w:tc>
          <w:tcPr>
            <w:tcW w:type="dxa" w:w="415"/>
          </w:tcPr>
          <w:p>
            <w:pPr>
              <w:pStyle w:val="null3"/>
              <w:jc w:val="left"/>
            </w:pPr>
            <w:r>
              <w:rPr/>
              <w:t>计量单位</w:t>
            </w:r>
          </w:p>
        </w:tc>
        <w:tc>
          <w:tcPr>
            <w:tcW w:type="dxa" w:w="415"/>
          </w:tcPr>
          <w:p>
            <w:pPr>
              <w:pStyle w:val="null3"/>
              <w:jc w:val="left"/>
            </w:pPr>
            <w:r>
              <w:rPr/>
              <w:t>报价单位</w:t>
            </w:r>
          </w:p>
        </w:tc>
        <w:tc>
          <w:tcPr>
            <w:tcW w:type="dxa" w:w="831"/>
          </w:tcPr>
          <w:p>
            <w:pPr>
              <w:pStyle w:val="null3"/>
              <w:jc w:val="left"/>
            </w:pPr>
            <w:r>
              <w:rPr/>
              <w:t>最高限价</w:t>
            </w:r>
          </w:p>
        </w:tc>
        <w:tc>
          <w:tcPr>
            <w:tcW w:type="dxa" w:w="831"/>
          </w:tcPr>
          <w:p>
            <w:pPr>
              <w:pStyle w:val="null3"/>
              <w:jc w:val="left"/>
            </w:pPr>
            <w:r>
              <w:rPr/>
              <w:t>价款形式</w:t>
            </w:r>
          </w:p>
        </w:tc>
        <w:tc>
          <w:tcPr>
            <w:tcW w:type="dxa" w:w="1246"/>
          </w:tcPr>
          <w:p>
            <w:pPr>
              <w:pStyle w:val="null3"/>
              <w:jc w:val="left"/>
            </w:pPr>
            <w:r>
              <w:rPr/>
              <w:t>报价说明</w:t>
            </w:r>
          </w:p>
        </w:tc>
      </w:tr>
      <w:tr>
        <w:tc>
          <w:tcPr>
            <w:tcW w:type="dxa" w:w="415"/>
          </w:tcPr>
          <w:p>
            <w:pPr>
              <w:pStyle w:val="null3"/>
              <w:jc w:val="left"/>
            </w:pPr>
            <w:r>
              <w:rPr/>
              <w:t>1</w:t>
            </w:r>
          </w:p>
        </w:tc>
        <w:tc>
          <w:tcPr>
            <w:tcW w:type="dxa" w:w="2076"/>
          </w:tcPr>
          <w:p>
            <w:pPr>
              <w:pStyle w:val="null3"/>
              <w:jc w:val="left"/>
            </w:pPr>
            <w:r>
              <w:rPr/>
              <w:t>2025年信息化安全运维服务</w:t>
            </w:r>
          </w:p>
        </w:tc>
        <w:tc>
          <w:tcPr>
            <w:tcW w:type="dxa" w:w="2076"/>
          </w:tcPr>
          <w:p>
            <w:pPr>
              <w:pStyle w:val="null3"/>
              <w:jc w:val="left"/>
            </w:pPr>
            <w:r>
              <w:rPr/>
              <w:t>等保测评服务</w:t>
            </w:r>
          </w:p>
        </w:tc>
        <w:tc>
          <w:tcPr>
            <w:tcW w:type="dxa" w:w="415"/>
          </w:tcPr>
          <w:p>
            <w:pPr>
              <w:pStyle w:val="null3"/>
              <w:jc w:val="left"/>
            </w:pPr>
            <w:r>
              <w:rPr/>
              <w:t>项</w:t>
            </w:r>
          </w:p>
        </w:tc>
        <w:tc>
          <w:tcPr>
            <w:tcW w:type="dxa" w:w="415"/>
          </w:tcPr>
          <w:p>
            <w:pPr>
              <w:pStyle w:val="null3"/>
              <w:jc w:val="left"/>
            </w:pPr>
            <w:r>
              <w:rPr/>
              <w:t>元</w:t>
            </w:r>
          </w:p>
        </w:tc>
        <w:tc>
          <w:tcPr>
            <w:tcW w:type="dxa" w:w="831"/>
          </w:tcPr>
          <w:p>
            <w:pPr>
              <w:pStyle w:val="null3"/>
              <w:jc w:val="right"/>
            </w:pPr>
            <w:r>
              <w:rPr/>
              <w:t>40,000.00</w:t>
            </w:r>
          </w:p>
        </w:tc>
        <w:tc>
          <w:tcPr>
            <w:tcW w:type="dxa" w:w="831"/>
          </w:tcPr>
          <w:p>
            <w:pPr>
              <w:pStyle w:val="null3"/>
              <w:jc w:val="left"/>
            </w:pPr>
            <w:r>
              <w:rPr/>
              <w:t>总价</w:t>
            </w:r>
          </w:p>
        </w:tc>
        <w:tc>
          <w:tcPr>
            <w:tcW w:type="dxa" w:w="1246"/>
          </w:tcPr>
          <w:p>
            <w:pPr>
              <w:pStyle w:val="null3"/>
              <w:jc w:val="left"/>
            </w:pPr>
            <w:r>
              <w:rPr/>
              <w:t>完成指定的1个三级系统的等级保护测评服务，并出具符合备案要求的测评报告。</w:t>
            </w:r>
          </w:p>
        </w:tc>
      </w:tr>
      <w:tr>
        <w:tc>
          <w:tcPr>
            <w:tcW w:type="dxa" w:w="415"/>
          </w:tcPr>
          <w:p>
            <w:pPr>
              <w:pStyle w:val="null3"/>
              <w:jc w:val="left"/>
            </w:pPr>
            <w:r>
              <w:rPr/>
              <w:t>2</w:t>
            </w:r>
          </w:p>
        </w:tc>
        <w:tc>
          <w:tcPr>
            <w:tcW w:type="dxa" w:w="2076"/>
          </w:tcPr>
          <w:p>
            <w:pPr>
              <w:pStyle w:val="null3"/>
              <w:jc w:val="left"/>
            </w:pPr>
            <w:r>
              <w:rPr/>
              <w:t>2025年信息化安全运维服务</w:t>
            </w:r>
          </w:p>
        </w:tc>
        <w:tc>
          <w:tcPr>
            <w:tcW w:type="dxa" w:w="2076"/>
          </w:tcPr>
          <w:p>
            <w:pPr>
              <w:pStyle w:val="null3"/>
              <w:jc w:val="left"/>
            </w:pPr>
            <w:r>
              <w:rPr/>
              <w:t>等保咨询服务</w:t>
            </w:r>
          </w:p>
        </w:tc>
        <w:tc>
          <w:tcPr>
            <w:tcW w:type="dxa" w:w="415"/>
          </w:tcPr>
          <w:p>
            <w:pPr>
              <w:pStyle w:val="null3"/>
              <w:jc w:val="left"/>
            </w:pPr>
            <w:r>
              <w:rPr/>
              <w:t>项</w:t>
            </w:r>
          </w:p>
        </w:tc>
        <w:tc>
          <w:tcPr>
            <w:tcW w:type="dxa" w:w="415"/>
          </w:tcPr>
          <w:p>
            <w:pPr>
              <w:pStyle w:val="null3"/>
              <w:jc w:val="left"/>
            </w:pPr>
            <w:r>
              <w:rPr/>
              <w:t>元</w:t>
            </w:r>
          </w:p>
        </w:tc>
        <w:tc>
          <w:tcPr>
            <w:tcW w:type="dxa" w:w="831"/>
          </w:tcPr>
          <w:p>
            <w:pPr>
              <w:pStyle w:val="null3"/>
              <w:jc w:val="right"/>
            </w:pPr>
            <w:r>
              <w:rPr/>
              <w:t>20,000.00</w:t>
            </w:r>
          </w:p>
        </w:tc>
        <w:tc>
          <w:tcPr>
            <w:tcW w:type="dxa" w:w="831"/>
          </w:tcPr>
          <w:p>
            <w:pPr>
              <w:pStyle w:val="null3"/>
              <w:jc w:val="left"/>
            </w:pPr>
            <w:r>
              <w:rPr/>
              <w:t>总价</w:t>
            </w:r>
          </w:p>
        </w:tc>
        <w:tc>
          <w:tcPr>
            <w:tcW w:type="dxa" w:w="1246"/>
          </w:tcPr>
          <w:p>
            <w:pPr>
              <w:pStyle w:val="null3"/>
              <w:jc w:val="left"/>
            </w:pPr>
            <w:r>
              <w:rPr/>
              <w:t>完成指定的1个三级系统的等级保护咨询服务，服务包含资产梳理、差距分析、等保加固辅助、测评协助等，并完成指定系统的复测评备案工作。</w:t>
            </w:r>
          </w:p>
        </w:tc>
      </w:tr>
      <w:tr>
        <w:tc>
          <w:tcPr>
            <w:tcW w:type="dxa" w:w="415"/>
          </w:tcPr>
          <w:p>
            <w:pPr>
              <w:pStyle w:val="null3"/>
              <w:jc w:val="left"/>
            </w:pPr>
            <w:r>
              <w:rPr/>
              <w:t>3</w:t>
            </w:r>
          </w:p>
        </w:tc>
        <w:tc>
          <w:tcPr>
            <w:tcW w:type="dxa" w:w="2076"/>
          </w:tcPr>
          <w:p>
            <w:pPr>
              <w:pStyle w:val="null3"/>
              <w:jc w:val="left"/>
            </w:pPr>
            <w:r>
              <w:rPr/>
              <w:t>2025年信息化安全运维服务</w:t>
            </w:r>
          </w:p>
        </w:tc>
        <w:tc>
          <w:tcPr>
            <w:tcW w:type="dxa" w:w="2076"/>
          </w:tcPr>
          <w:p>
            <w:pPr>
              <w:pStyle w:val="null3"/>
              <w:jc w:val="left"/>
            </w:pPr>
            <w:r>
              <w:rPr/>
              <w:t>互联网暴露资产自查服务</w:t>
            </w:r>
          </w:p>
        </w:tc>
        <w:tc>
          <w:tcPr>
            <w:tcW w:type="dxa" w:w="415"/>
          </w:tcPr>
          <w:p>
            <w:pPr>
              <w:pStyle w:val="null3"/>
              <w:jc w:val="left"/>
            </w:pPr>
            <w:r>
              <w:rPr/>
              <w:t>次</w:t>
            </w:r>
          </w:p>
        </w:tc>
        <w:tc>
          <w:tcPr>
            <w:tcW w:type="dxa" w:w="415"/>
          </w:tcPr>
          <w:p>
            <w:pPr>
              <w:pStyle w:val="null3"/>
              <w:jc w:val="left"/>
            </w:pPr>
            <w:r>
              <w:rPr/>
              <w:t>元</w:t>
            </w:r>
          </w:p>
        </w:tc>
        <w:tc>
          <w:tcPr>
            <w:tcW w:type="dxa" w:w="831"/>
          </w:tcPr>
          <w:p>
            <w:pPr>
              <w:pStyle w:val="null3"/>
              <w:jc w:val="right"/>
            </w:pPr>
            <w:r>
              <w:rPr/>
              <w:t>16,000.00</w:t>
            </w:r>
          </w:p>
        </w:tc>
        <w:tc>
          <w:tcPr>
            <w:tcW w:type="dxa" w:w="831"/>
          </w:tcPr>
          <w:p>
            <w:pPr>
              <w:pStyle w:val="null3"/>
              <w:jc w:val="left"/>
            </w:pPr>
            <w:r>
              <w:rPr/>
              <w:t>总价</w:t>
            </w:r>
          </w:p>
        </w:tc>
        <w:tc>
          <w:tcPr>
            <w:tcW w:type="dxa" w:w="1246"/>
          </w:tcPr>
          <w:p>
            <w:pPr>
              <w:pStyle w:val="null3"/>
              <w:jc w:val="left"/>
            </w:pPr>
            <w:r>
              <w:rPr/>
              <w:t>梳理暴露在互联网上的资产信息（例如威胁情报能力+人工服务），输出互联网暴露端口列表和漏洞情况，提供安全整改建议报告、督促完成安全整改</w:t>
            </w:r>
          </w:p>
        </w:tc>
      </w:tr>
      <w:tr>
        <w:tc>
          <w:tcPr>
            <w:tcW w:type="dxa" w:w="415"/>
          </w:tcPr>
          <w:p>
            <w:pPr>
              <w:pStyle w:val="null3"/>
              <w:jc w:val="left"/>
            </w:pPr>
            <w:r>
              <w:rPr/>
              <w:t>4</w:t>
            </w:r>
          </w:p>
        </w:tc>
        <w:tc>
          <w:tcPr>
            <w:tcW w:type="dxa" w:w="2076"/>
          </w:tcPr>
          <w:p>
            <w:pPr>
              <w:pStyle w:val="null3"/>
              <w:jc w:val="left"/>
            </w:pPr>
            <w:r>
              <w:rPr/>
              <w:t>2025年信息化安全运维服务</w:t>
            </w:r>
          </w:p>
        </w:tc>
        <w:tc>
          <w:tcPr>
            <w:tcW w:type="dxa" w:w="2076"/>
          </w:tcPr>
          <w:p>
            <w:pPr>
              <w:pStyle w:val="null3"/>
              <w:jc w:val="left"/>
            </w:pPr>
            <w:r>
              <w:rPr/>
              <w:t>渗透测试</w:t>
            </w:r>
          </w:p>
        </w:tc>
        <w:tc>
          <w:tcPr>
            <w:tcW w:type="dxa" w:w="415"/>
          </w:tcPr>
          <w:p>
            <w:pPr>
              <w:pStyle w:val="null3"/>
              <w:jc w:val="left"/>
            </w:pPr>
            <w:r>
              <w:rPr/>
              <w:t>次</w:t>
            </w:r>
          </w:p>
        </w:tc>
        <w:tc>
          <w:tcPr>
            <w:tcW w:type="dxa" w:w="415"/>
          </w:tcPr>
          <w:p>
            <w:pPr>
              <w:pStyle w:val="null3"/>
              <w:jc w:val="left"/>
            </w:pPr>
            <w:r>
              <w:rPr/>
              <w:t>元</w:t>
            </w:r>
          </w:p>
        </w:tc>
        <w:tc>
          <w:tcPr>
            <w:tcW w:type="dxa" w:w="831"/>
          </w:tcPr>
          <w:p>
            <w:pPr>
              <w:pStyle w:val="null3"/>
              <w:jc w:val="right"/>
            </w:pPr>
            <w:r>
              <w:rPr/>
              <w:t>24,000.00</w:t>
            </w:r>
          </w:p>
        </w:tc>
        <w:tc>
          <w:tcPr>
            <w:tcW w:type="dxa" w:w="831"/>
          </w:tcPr>
          <w:p>
            <w:pPr>
              <w:pStyle w:val="null3"/>
              <w:jc w:val="left"/>
            </w:pPr>
            <w:r>
              <w:rPr/>
              <w:t>总价</w:t>
            </w:r>
          </w:p>
        </w:tc>
        <w:tc>
          <w:tcPr>
            <w:tcW w:type="dxa" w:w="1246"/>
          </w:tcPr>
          <w:p>
            <w:pPr>
              <w:pStyle w:val="null3"/>
              <w:jc w:val="left"/>
            </w:pPr>
            <w:r>
              <w:rPr/>
              <w:t>从安全攻击链视角对互联网应用系统开展全方位的安全渗透测试工作，以全面发现应用系统安全问题与隐患，如：暴力破解、弱口令、SQL注入、目录遍历等。</w:t>
            </w:r>
          </w:p>
        </w:tc>
      </w:tr>
      <w:tr>
        <w:tc>
          <w:tcPr>
            <w:tcW w:type="dxa" w:w="415"/>
          </w:tcPr>
          <w:p>
            <w:pPr>
              <w:pStyle w:val="null3"/>
              <w:jc w:val="left"/>
            </w:pPr>
            <w:r>
              <w:rPr/>
              <w:t>5</w:t>
            </w:r>
          </w:p>
        </w:tc>
        <w:tc>
          <w:tcPr>
            <w:tcW w:type="dxa" w:w="2076"/>
          </w:tcPr>
          <w:p>
            <w:pPr>
              <w:pStyle w:val="null3"/>
              <w:jc w:val="left"/>
            </w:pPr>
            <w:r>
              <w:rPr/>
              <w:t>2025年信息化安全运维服务</w:t>
            </w:r>
          </w:p>
        </w:tc>
        <w:tc>
          <w:tcPr>
            <w:tcW w:type="dxa" w:w="2076"/>
          </w:tcPr>
          <w:p>
            <w:pPr>
              <w:pStyle w:val="null3"/>
              <w:jc w:val="left"/>
            </w:pPr>
            <w:r>
              <w:rPr/>
              <w:t>网站安全监控服务</w:t>
            </w:r>
          </w:p>
        </w:tc>
        <w:tc>
          <w:tcPr>
            <w:tcW w:type="dxa" w:w="415"/>
          </w:tcPr>
          <w:p>
            <w:pPr>
              <w:pStyle w:val="null3"/>
              <w:jc w:val="left"/>
            </w:pPr>
            <w:r>
              <w:rPr/>
              <w:t>套</w:t>
            </w:r>
          </w:p>
        </w:tc>
        <w:tc>
          <w:tcPr>
            <w:tcW w:type="dxa" w:w="415"/>
          </w:tcPr>
          <w:p>
            <w:pPr>
              <w:pStyle w:val="null3"/>
              <w:jc w:val="left"/>
            </w:pPr>
            <w:r>
              <w:rPr/>
              <w:t>元</w:t>
            </w:r>
          </w:p>
        </w:tc>
        <w:tc>
          <w:tcPr>
            <w:tcW w:type="dxa" w:w="831"/>
          </w:tcPr>
          <w:p>
            <w:pPr>
              <w:pStyle w:val="null3"/>
              <w:jc w:val="right"/>
            </w:pPr>
            <w:r>
              <w:rPr/>
              <w:t>15,000.00</w:t>
            </w:r>
          </w:p>
        </w:tc>
        <w:tc>
          <w:tcPr>
            <w:tcW w:type="dxa" w:w="831"/>
          </w:tcPr>
          <w:p>
            <w:pPr>
              <w:pStyle w:val="null3"/>
              <w:jc w:val="left"/>
            </w:pPr>
            <w:r>
              <w:rPr/>
              <w:t>总价</w:t>
            </w:r>
          </w:p>
        </w:tc>
        <w:tc>
          <w:tcPr>
            <w:tcW w:type="dxa" w:w="1246"/>
          </w:tcPr>
          <w:p>
            <w:pPr>
              <w:pStyle w:val="null3"/>
              <w:jc w:val="left"/>
            </w:pPr>
            <w:r>
              <w:rPr/>
              <w:t>1年365天通过专业的网站安全监控平台对服务范围内指定的互联网业务系统进行网站安全实时监测。</w:t>
            </w:r>
          </w:p>
        </w:tc>
      </w:tr>
      <w:tr>
        <w:tc>
          <w:tcPr>
            <w:tcW w:type="dxa" w:w="415"/>
          </w:tcPr>
          <w:p>
            <w:pPr>
              <w:pStyle w:val="null3"/>
              <w:jc w:val="left"/>
            </w:pPr>
            <w:r>
              <w:rPr/>
              <w:t>6</w:t>
            </w:r>
          </w:p>
        </w:tc>
        <w:tc>
          <w:tcPr>
            <w:tcW w:type="dxa" w:w="2076"/>
          </w:tcPr>
          <w:p>
            <w:pPr>
              <w:pStyle w:val="null3"/>
              <w:jc w:val="left"/>
            </w:pPr>
            <w:r>
              <w:rPr/>
              <w:t>2025年信息化安全运维服务</w:t>
            </w:r>
          </w:p>
        </w:tc>
        <w:tc>
          <w:tcPr>
            <w:tcW w:type="dxa" w:w="2076"/>
          </w:tcPr>
          <w:p>
            <w:pPr>
              <w:pStyle w:val="null3"/>
              <w:jc w:val="left"/>
            </w:pPr>
            <w:r>
              <w:rPr/>
              <w:t>安全巡检服务</w:t>
            </w:r>
          </w:p>
        </w:tc>
        <w:tc>
          <w:tcPr>
            <w:tcW w:type="dxa" w:w="415"/>
          </w:tcPr>
          <w:p>
            <w:pPr>
              <w:pStyle w:val="null3"/>
              <w:jc w:val="left"/>
            </w:pPr>
            <w:r>
              <w:rPr/>
              <w:t>次</w:t>
            </w:r>
          </w:p>
        </w:tc>
        <w:tc>
          <w:tcPr>
            <w:tcW w:type="dxa" w:w="415"/>
          </w:tcPr>
          <w:p>
            <w:pPr>
              <w:pStyle w:val="null3"/>
              <w:jc w:val="left"/>
            </w:pPr>
            <w:r>
              <w:rPr/>
              <w:t>元</w:t>
            </w:r>
          </w:p>
        </w:tc>
        <w:tc>
          <w:tcPr>
            <w:tcW w:type="dxa" w:w="831"/>
          </w:tcPr>
          <w:p>
            <w:pPr>
              <w:pStyle w:val="null3"/>
              <w:jc w:val="right"/>
            </w:pPr>
            <w:r>
              <w:rPr/>
              <w:t>48,000.00</w:t>
            </w:r>
          </w:p>
        </w:tc>
        <w:tc>
          <w:tcPr>
            <w:tcW w:type="dxa" w:w="831"/>
          </w:tcPr>
          <w:p>
            <w:pPr>
              <w:pStyle w:val="null3"/>
              <w:jc w:val="left"/>
            </w:pPr>
            <w:r>
              <w:rPr/>
              <w:t>总价</w:t>
            </w:r>
          </w:p>
        </w:tc>
        <w:tc>
          <w:tcPr>
            <w:tcW w:type="dxa" w:w="1246"/>
          </w:tcPr>
          <w:p>
            <w:pPr>
              <w:pStyle w:val="null3"/>
              <w:jc w:val="left"/>
            </w:pPr>
            <w:r>
              <w:rPr/>
              <w:t>定期对本次服务对象进行巡检及日志分析服务，并提供巡检报告。</w:t>
            </w:r>
          </w:p>
        </w:tc>
      </w:tr>
      <w:tr>
        <w:tc>
          <w:tcPr>
            <w:tcW w:type="dxa" w:w="415"/>
          </w:tcPr>
          <w:p>
            <w:pPr>
              <w:pStyle w:val="null3"/>
              <w:jc w:val="left"/>
            </w:pPr>
            <w:r>
              <w:rPr/>
              <w:t>7</w:t>
            </w:r>
          </w:p>
        </w:tc>
        <w:tc>
          <w:tcPr>
            <w:tcW w:type="dxa" w:w="2076"/>
          </w:tcPr>
          <w:p>
            <w:pPr>
              <w:pStyle w:val="null3"/>
              <w:jc w:val="left"/>
            </w:pPr>
            <w:r>
              <w:rPr/>
              <w:t>2025年信息化安全运维服务</w:t>
            </w:r>
          </w:p>
        </w:tc>
        <w:tc>
          <w:tcPr>
            <w:tcW w:type="dxa" w:w="2076"/>
          </w:tcPr>
          <w:p>
            <w:pPr>
              <w:pStyle w:val="null3"/>
              <w:jc w:val="left"/>
            </w:pPr>
            <w:r>
              <w:rPr/>
              <w:t>安全检测服务</w:t>
            </w:r>
          </w:p>
        </w:tc>
        <w:tc>
          <w:tcPr>
            <w:tcW w:type="dxa" w:w="415"/>
          </w:tcPr>
          <w:p>
            <w:pPr>
              <w:pStyle w:val="null3"/>
              <w:jc w:val="left"/>
            </w:pPr>
            <w:r>
              <w:rPr/>
              <w:t>次</w:t>
            </w:r>
          </w:p>
        </w:tc>
        <w:tc>
          <w:tcPr>
            <w:tcW w:type="dxa" w:w="415"/>
          </w:tcPr>
          <w:p>
            <w:pPr>
              <w:pStyle w:val="null3"/>
              <w:jc w:val="left"/>
            </w:pPr>
            <w:r>
              <w:rPr/>
              <w:t>元</w:t>
            </w:r>
          </w:p>
        </w:tc>
        <w:tc>
          <w:tcPr>
            <w:tcW w:type="dxa" w:w="831"/>
          </w:tcPr>
          <w:p>
            <w:pPr>
              <w:pStyle w:val="null3"/>
              <w:jc w:val="right"/>
            </w:pPr>
            <w:r>
              <w:rPr/>
              <w:t>20,000.00</w:t>
            </w:r>
          </w:p>
        </w:tc>
        <w:tc>
          <w:tcPr>
            <w:tcW w:type="dxa" w:w="831"/>
          </w:tcPr>
          <w:p>
            <w:pPr>
              <w:pStyle w:val="null3"/>
              <w:jc w:val="left"/>
            </w:pPr>
            <w:r>
              <w:rPr/>
              <w:t>总价</w:t>
            </w:r>
          </w:p>
        </w:tc>
        <w:tc>
          <w:tcPr>
            <w:tcW w:type="dxa" w:w="1246"/>
          </w:tcPr>
          <w:p>
            <w:pPr>
              <w:pStyle w:val="null3"/>
              <w:jc w:val="left"/>
            </w:pPr>
            <w:r>
              <w:rPr/>
              <w:t>定期对服务器、网络设备、数据库、应用系统等进行一次全面的系统漏洞扫描和安全配置检查，清晰定性安全风险，给出修复建议和预防措施，并进行跟踪处理；提供检测报告</w:t>
            </w:r>
          </w:p>
        </w:tc>
      </w:tr>
      <w:tr>
        <w:tc>
          <w:tcPr>
            <w:tcW w:type="dxa" w:w="415"/>
          </w:tcPr>
          <w:p>
            <w:pPr>
              <w:pStyle w:val="null3"/>
              <w:jc w:val="left"/>
            </w:pPr>
            <w:r>
              <w:rPr/>
              <w:t>8</w:t>
            </w:r>
          </w:p>
        </w:tc>
        <w:tc>
          <w:tcPr>
            <w:tcW w:type="dxa" w:w="2076"/>
          </w:tcPr>
          <w:p>
            <w:pPr>
              <w:pStyle w:val="null3"/>
              <w:jc w:val="left"/>
            </w:pPr>
            <w:r>
              <w:rPr/>
              <w:t>2025年信息化安全运维服务</w:t>
            </w:r>
          </w:p>
        </w:tc>
        <w:tc>
          <w:tcPr>
            <w:tcW w:type="dxa" w:w="2076"/>
          </w:tcPr>
          <w:p>
            <w:pPr>
              <w:pStyle w:val="null3"/>
              <w:jc w:val="left"/>
            </w:pPr>
            <w:r>
              <w:rPr/>
              <w:t>安全配置核查服务</w:t>
            </w:r>
          </w:p>
        </w:tc>
        <w:tc>
          <w:tcPr>
            <w:tcW w:type="dxa" w:w="415"/>
          </w:tcPr>
          <w:p>
            <w:pPr>
              <w:pStyle w:val="null3"/>
              <w:jc w:val="left"/>
            </w:pPr>
            <w:r>
              <w:rPr/>
              <w:t>次</w:t>
            </w:r>
          </w:p>
        </w:tc>
        <w:tc>
          <w:tcPr>
            <w:tcW w:type="dxa" w:w="415"/>
          </w:tcPr>
          <w:p>
            <w:pPr>
              <w:pStyle w:val="null3"/>
              <w:jc w:val="left"/>
            </w:pPr>
            <w:r>
              <w:rPr/>
              <w:t>元</w:t>
            </w:r>
          </w:p>
        </w:tc>
        <w:tc>
          <w:tcPr>
            <w:tcW w:type="dxa" w:w="831"/>
          </w:tcPr>
          <w:p>
            <w:pPr>
              <w:pStyle w:val="null3"/>
              <w:jc w:val="right"/>
            </w:pPr>
            <w:r>
              <w:rPr/>
              <w:t>14,000.00</w:t>
            </w:r>
          </w:p>
        </w:tc>
        <w:tc>
          <w:tcPr>
            <w:tcW w:type="dxa" w:w="831"/>
          </w:tcPr>
          <w:p>
            <w:pPr>
              <w:pStyle w:val="null3"/>
              <w:jc w:val="left"/>
            </w:pPr>
            <w:r>
              <w:rPr/>
              <w:t>总价</w:t>
            </w:r>
          </w:p>
        </w:tc>
        <w:tc>
          <w:tcPr>
            <w:tcW w:type="dxa" w:w="1246"/>
          </w:tcPr>
          <w:p>
            <w:pPr>
              <w:pStyle w:val="null3"/>
              <w:jc w:val="left"/>
            </w:pPr>
            <w:r>
              <w:rPr/>
              <w:t>针对服务范围内的操作系统、网络设备、数据库、中间件等通过专门的核查工具对可能存在的不安全配置项与安全隐患进行检查，并提供安全配置加固建议。</w:t>
            </w:r>
          </w:p>
        </w:tc>
      </w:tr>
      <w:tr>
        <w:tc>
          <w:tcPr>
            <w:tcW w:type="dxa" w:w="415"/>
          </w:tcPr>
          <w:p>
            <w:pPr>
              <w:pStyle w:val="null3"/>
              <w:jc w:val="left"/>
            </w:pPr>
            <w:r>
              <w:rPr/>
              <w:t>9</w:t>
            </w:r>
          </w:p>
        </w:tc>
        <w:tc>
          <w:tcPr>
            <w:tcW w:type="dxa" w:w="2076"/>
          </w:tcPr>
          <w:p>
            <w:pPr>
              <w:pStyle w:val="null3"/>
              <w:jc w:val="left"/>
            </w:pPr>
            <w:r>
              <w:rPr/>
              <w:t>2025年信息化安全运维服务</w:t>
            </w:r>
          </w:p>
        </w:tc>
        <w:tc>
          <w:tcPr>
            <w:tcW w:type="dxa" w:w="2076"/>
          </w:tcPr>
          <w:p>
            <w:pPr>
              <w:pStyle w:val="null3"/>
              <w:jc w:val="left"/>
            </w:pPr>
            <w:r>
              <w:rPr/>
              <w:t>安全加固指导服务</w:t>
            </w:r>
          </w:p>
        </w:tc>
        <w:tc>
          <w:tcPr>
            <w:tcW w:type="dxa" w:w="415"/>
          </w:tcPr>
          <w:p>
            <w:pPr>
              <w:pStyle w:val="null3"/>
              <w:jc w:val="left"/>
            </w:pPr>
            <w:r>
              <w:rPr/>
              <w:t>次</w:t>
            </w:r>
          </w:p>
        </w:tc>
        <w:tc>
          <w:tcPr>
            <w:tcW w:type="dxa" w:w="415"/>
          </w:tcPr>
          <w:p>
            <w:pPr>
              <w:pStyle w:val="null3"/>
              <w:jc w:val="left"/>
            </w:pPr>
            <w:r>
              <w:rPr/>
              <w:t>元</w:t>
            </w:r>
          </w:p>
        </w:tc>
        <w:tc>
          <w:tcPr>
            <w:tcW w:type="dxa" w:w="831"/>
          </w:tcPr>
          <w:p>
            <w:pPr>
              <w:pStyle w:val="null3"/>
              <w:jc w:val="right"/>
            </w:pPr>
            <w:r>
              <w:rPr/>
              <w:t>16,000.00</w:t>
            </w:r>
          </w:p>
        </w:tc>
        <w:tc>
          <w:tcPr>
            <w:tcW w:type="dxa" w:w="831"/>
          </w:tcPr>
          <w:p>
            <w:pPr>
              <w:pStyle w:val="null3"/>
              <w:jc w:val="left"/>
            </w:pPr>
            <w:r>
              <w:rPr/>
              <w:t>总价</w:t>
            </w:r>
          </w:p>
        </w:tc>
        <w:tc>
          <w:tcPr>
            <w:tcW w:type="dxa" w:w="1246"/>
          </w:tcPr>
          <w:p>
            <w:pPr>
              <w:pStyle w:val="null3"/>
              <w:jc w:val="left"/>
            </w:pPr>
            <w:r>
              <w:rPr/>
              <w:t>在服务期内针对巡检报告和渗透测试报告，提供加固方案与加固实施回退方案，从而增强信息系统抵抗风险的能力，从而提高整个系统的安全性。加固范围包含主机系统，软件系统，数据库系统、网络设备、网络安全设备、网站等。</w:t>
            </w:r>
          </w:p>
        </w:tc>
      </w:tr>
      <w:tr>
        <w:tc>
          <w:tcPr>
            <w:tcW w:type="dxa" w:w="415"/>
          </w:tcPr>
          <w:p>
            <w:pPr>
              <w:pStyle w:val="null3"/>
              <w:jc w:val="left"/>
            </w:pPr>
            <w:r>
              <w:rPr/>
              <w:t>10</w:t>
            </w:r>
          </w:p>
        </w:tc>
        <w:tc>
          <w:tcPr>
            <w:tcW w:type="dxa" w:w="2076"/>
          </w:tcPr>
          <w:p>
            <w:pPr>
              <w:pStyle w:val="null3"/>
              <w:jc w:val="left"/>
            </w:pPr>
            <w:r>
              <w:rPr/>
              <w:t>2025年信息化安全运维服务</w:t>
            </w:r>
          </w:p>
        </w:tc>
        <w:tc>
          <w:tcPr>
            <w:tcW w:type="dxa" w:w="2076"/>
          </w:tcPr>
          <w:p>
            <w:pPr>
              <w:pStyle w:val="null3"/>
              <w:jc w:val="left"/>
            </w:pPr>
            <w:r>
              <w:rPr/>
              <w:t>安全措施有效性验证服务</w:t>
            </w:r>
          </w:p>
        </w:tc>
        <w:tc>
          <w:tcPr>
            <w:tcW w:type="dxa" w:w="415"/>
          </w:tcPr>
          <w:p>
            <w:pPr>
              <w:pStyle w:val="null3"/>
              <w:jc w:val="left"/>
            </w:pPr>
            <w:r>
              <w:rPr/>
              <w:t>次</w:t>
            </w:r>
          </w:p>
        </w:tc>
        <w:tc>
          <w:tcPr>
            <w:tcW w:type="dxa" w:w="415"/>
          </w:tcPr>
          <w:p>
            <w:pPr>
              <w:pStyle w:val="null3"/>
              <w:jc w:val="left"/>
            </w:pPr>
            <w:r>
              <w:rPr/>
              <w:t>元</w:t>
            </w:r>
          </w:p>
        </w:tc>
        <w:tc>
          <w:tcPr>
            <w:tcW w:type="dxa" w:w="831"/>
          </w:tcPr>
          <w:p>
            <w:pPr>
              <w:pStyle w:val="null3"/>
              <w:jc w:val="right"/>
            </w:pPr>
            <w:r>
              <w:rPr/>
              <w:t>12,000.00</w:t>
            </w:r>
          </w:p>
        </w:tc>
        <w:tc>
          <w:tcPr>
            <w:tcW w:type="dxa" w:w="831"/>
          </w:tcPr>
          <w:p>
            <w:pPr>
              <w:pStyle w:val="null3"/>
              <w:jc w:val="left"/>
            </w:pPr>
            <w:r>
              <w:rPr/>
              <w:t>总价</w:t>
            </w:r>
          </w:p>
        </w:tc>
        <w:tc>
          <w:tcPr>
            <w:tcW w:type="dxa" w:w="1246"/>
          </w:tcPr>
          <w:p>
            <w:pPr>
              <w:pStyle w:val="null3"/>
              <w:jc w:val="left"/>
            </w:pPr>
            <w:r>
              <w:rPr/>
              <w:t>定期进行本地中心机房安全措施有效性验证工作，验证本地机房的核心网络设备、安全设备的安全配置符合安全策略要求，验证安全设备的策略是否为最小权限、最小服务，设备的安全审计日志正常工作，能够正确记录安全事件的来源和事件。</w:t>
            </w:r>
          </w:p>
        </w:tc>
      </w:tr>
      <w:tr>
        <w:tc>
          <w:tcPr>
            <w:tcW w:type="dxa" w:w="415"/>
          </w:tcPr>
          <w:p>
            <w:pPr>
              <w:pStyle w:val="null3"/>
              <w:jc w:val="left"/>
            </w:pPr>
            <w:r>
              <w:rPr/>
              <w:t>11</w:t>
            </w:r>
          </w:p>
        </w:tc>
        <w:tc>
          <w:tcPr>
            <w:tcW w:type="dxa" w:w="2076"/>
          </w:tcPr>
          <w:p>
            <w:pPr>
              <w:pStyle w:val="null3"/>
              <w:jc w:val="left"/>
            </w:pPr>
            <w:r>
              <w:rPr/>
              <w:t>2025年信息化安全运维服务</w:t>
            </w:r>
          </w:p>
        </w:tc>
        <w:tc>
          <w:tcPr>
            <w:tcW w:type="dxa" w:w="2076"/>
          </w:tcPr>
          <w:p>
            <w:pPr>
              <w:pStyle w:val="null3"/>
              <w:jc w:val="left"/>
            </w:pPr>
            <w:r>
              <w:rPr/>
              <w:t>基层终端安全检查服务</w:t>
            </w:r>
          </w:p>
        </w:tc>
        <w:tc>
          <w:tcPr>
            <w:tcW w:type="dxa" w:w="415"/>
          </w:tcPr>
          <w:p>
            <w:pPr>
              <w:pStyle w:val="null3"/>
              <w:jc w:val="left"/>
            </w:pPr>
            <w:r>
              <w:rPr/>
              <w:t>次</w:t>
            </w:r>
          </w:p>
        </w:tc>
        <w:tc>
          <w:tcPr>
            <w:tcW w:type="dxa" w:w="415"/>
          </w:tcPr>
          <w:p>
            <w:pPr>
              <w:pStyle w:val="null3"/>
              <w:jc w:val="left"/>
            </w:pPr>
            <w:r>
              <w:rPr/>
              <w:t>元</w:t>
            </w:r>
          </w:p>
        </w:tc>
        <w:tc>
          <w:tcPr>
            <w:tcW w:type="dxa" w:w="831"/>
          </w:tcPr>
          <w:p>
            <w:pPr>
              <w:pStyle w:val="null3"/>
              <w:jc w:val="right"/>
            </w:pPr>
            <w:r>
              <w:rPr/>
              <w:t>44,000.00</w:t>
            </w:r>
          </w:p>
        </w:tc>
        <w:tc>
          <w:tcPr>
            <w:tcW w:type="dxa" w:w="831"/>
          </w:tcPr>
          <w:p>
            <w:pPr>
              <w:pStyle w:val="null3"/>
              <w:jc w:val="left"/>
            </w:pPr>
            <w:r>
              <w:rPr/>
              <w:t>总价</w:t>
            </w:r>
          </w:p>
        </w:tc>
        <w:tc>
          <w:tcPr>
            <w:tcW w:type="dxa" w:w="1246"/>
          </w:tcPr>
          <w:p>
            <w:pPr>
              <w:pStyle w:val="null3"/>
              <w:jc w:val="left"/>
            </w:pPr>
            <w:r>
              <w:rPr/>
              <w:t>定期对指定的基层办公主机等进行定期的漏洞测试、弱口令测试、基线策略核查等。使用专业的漏洞检查工具，通过扫描的方式来识别办公主机的漏洞和安全性问题，并针对发现的问题提供解决建议或进行及时的修正。</w:t>
            </w:r>
          </w:p>
        </w:tc>
      </w:tr>
      <w:tr>
        <w:tc>
          <w:tcPr>
            <w:tcW w:type="dxa" w:w="415"/>
          </w:tcPr>
          <w:p>
            <w:pPr>
              <w:pStyle w:val="null3"/>
              <w:jc w:val="left"/>
            </w:pPr>
            <w:r>
              <w:rPr/>
              <w:t>12</w:t>
            </w:r>
          </w:p>
        </w:tc>
        <w:tc>
          <w:tcPr>
            <w:tcW w:type="dxa" w:w="2076"/>
          </w:tcPr>
          <w:p>
            <w:pPr>
              <w:pStyle w:val="null3"/>
              <w:jc w:val="left"/>
            </w:pPr>
            <w:r>
              <w:rPr/>
              <w:t>2025年信息化安全运维服务</w:t>
            </w:r>
          </w:p>
        </w:tc>
        <w:tc>
          <w:tcPr>
            <w:tcW w:type="dxa" w:w="2076"/>
          </w:tcPr>
          <w:p>
            <w:pPr>
              <w:pStyle w:val="null3"/>
              <w:jc w:val="left"/>
            </w:pPr>
            <w:r>
              <w:rPr/>
              <w:t>保密检查服务</w:t>
            </w:r>
          </w:p>
        </w:tc>
        <w:tc>
          <w:tcPr>
            <w:tcW w:type="dxa" w:w="415"/>
          </w:tcPr>
          <w:p>
            <w:pPr>
              <w:pStyle w:val="null3"/>
              <w:jc w:val="left"/>
            </w:pPr>
            <w:r>
              <w:rPr/>
              <w:t>次</w:t>
            </w:r>
          </w:p>
        </w:tc>
        <w:tc>
          <w:tcPr>
            <w:tcW w:type="dxa" w:w="415"/>
          </w:tcPr>
          <w:p>
            <w:pPr>
              <w:pStyle w:val="null3"/>
              <w:jc w:val="left"/>
            </w:pPr>
            <w:r>
              <w:rPr/>
              <w:t>元</w:t>
            </w:r>
          </w:p>
        </w:tc>
        <w:tc>
          <w:tcPr>
            <w:tcW w:type="dxa" w:w="831"/>
          </w:tcPr>
          <w:p>
            <w:pPr>
              <w:pStyle w:val="null3"/>
              <w:jc w:val="right"/>
            </w:pPr>
            <w:r>
              <w:rPr/>
              <w:t>32,000.00</w:t>
            </w:r>
          </w:p>
        </w:tc>
        <w:tc>
          <w:tcPr>
            <w:tcW w:type="dxa" w:w="831"/>
          </w:tcPr>
          <w:p>
            <w:pPr>
              <w:pStyle w:val="null3"/>
              <w:jc w:val="left"/>
            </w:pPr>
            <w:r>
              <w:rPr/>
              <w:t>总价</w:t>
            </w:r>
          </w:p>
        </w:tc>
        <w:tc>
          <w:tcPr>
            <w:tcW w:type="dxa" w:w="1246"/>
          </w:tcPr>
          <w:p>
            <w:pPr>
              <w:pStyle w:val="null3"/>
              <w:jc w:val="left"/>
            </w:pPr>
            <w:r>
              <w:rPr/>
              <w:t>定期通过最新版计算机保密检查在线工具和线下软件对中心内外网计算机进行专项保密检查。搜集计算机上的敏感文件信息、上网痕迹信息、移动设备插拔记录、通信设备使用记录等信息。</w:t>
            </w:r>
          </w:p>
        </w:tc>
      </w:tr>
      <w:tr>
        <w:tc>
          <w:tcPr>
            <w:tcW w:type="dxa" w:w="415"/>
          </w:tcPr>
          <w:p>
            <w:pPr>
              <w:pStyle w:val="null3"/>
              <w:jc w:val="left"/>
            </w:pPr>
            <w:r>
              <w:rPr/>
              <w:t>13</w:t>
            </w:r>
          </w:p>
        </w:tc>
        <w:tc>
          <w:tcPr>
            <w:tcW w:type="dxa" w:w="2076"/>
          </w:tcPr>
          <w:p>
            <w:pPr>
              <w:pStyle w:val="null3"/>
              <w:jc w:val="left"/>
            </w:pPr>
            <w:r>
              <w:rPr/>
              <w:t>2025年信息化安全运维服务</w:t>
            </w:r>
          </w:p>
        </w:tc>
        <w:tc>
          <w:tcPr>
            <w:tcW w:type="dxa" w:w="2076"/>
          </w:tcPr>
          <w:p>
            <w:pPr>
              <w:pStyle w:val="null3"/>
              <w:jc w:val="left"/>
            </w:pPr>
            <w:r>
              <w:rPr/>
              <w:t>新系统上线检测服务</w:t>
            </w:r>
          </w:p>
        </w:tc>
        <w:tc>
          <w:tcPr>
            <w:tcW w:type="dxa" w:w="415"/>
          </w:tcPr>
          <w:p>
            <w:pPr>
              <w:pStyle w:val="null3"/>
              <w:jc w:val="left"/>
            </w:pPr>
            <w:r>
              <w:rPr/>
              <w:t>次</w:t>
            </w:r>
          </w:p>
        </w:tc>
        <w:tc>
          <w:tcPr>
            <w:tcW w:type="dxa" w:w="415"/>
          </w:tcPr>
          <w:p>
            <w:pPr>
              <w:pStyle w:val="null3"/>
              <w:jc w:val="left"/>
            </w:pPr>
            <w:r>
              <w:rPr/>
              <w:t>元</w:t>
            </w:r>
          </w:p>
        </w:tc>
        <w:tc>
          <w:tcPr>
            <w:tcW w:type="dxa" w:w="831"/>
          </w:tcPr>
          <w:p>
            <w:pPr>
              <w:pStyle w:val="null3"/>
              <w:jc w:val="right"/>
            </w:pPr>
            <w:r>
              <w:rPr/>
              <w:t>15,000.00</w:t>
            </w:r>
          </w:p>
        </w:tc>
        <w:tc>
          <w:tcPr>
            <w:tcW w:type="dxa" w:w="831"/>
          </w:tcPr>
          <w:p>
            <w:pPr>
              <w:pStyle w:val="null3"/>
              <w:jc w:val="left"/>
            </w:pPr>
            <w:r>
              <w:rPr/>
              <w:t>总价</w:t>
            </w:r>
          </w:p>
        </w:tc>
        <w:tc>
          <w:tcPr>
            <w:tcW w:type="dxa" w:w="1246"/>
          </w:tcPr>
          <w:p>
            <w:pPr>
              <w:pStyle w:val="null3"/>
              <w:jc w:val="left"/>
            </w:pPr>
            <w:r>
              <w:rPr/>
              <w:t>按照等保及中心定级要求对新业务上线前进行一次安全检查，并提供检测诊断报告。</w:t>
            </w:r>
          </w:p>
        </w:tc>
      </w:tr>
      <w:tr>
        <w:tc>
          <w:tcPr>
            <w:tcW w:type="dxa" w:w="415"/>
          </w:tcPr>
          <w:p>
            <w:pPr>
              <w:pStyle w:val="null3"/>
              <w:jc w:val="left"/>
            </w:pPr>
            <w:r>
              <w:rPr/>
              <w:t>14</w:t>
            </w:r>
          </w:p>
        </w:tc>
        <w:tc>
          <w:tcPr>
            <w:tcW w:type="dxa" w:w="2076"/>
          </w:tcPr>
          <w:p>
            <w:pPr>
              <w:pStyle w:val="null3"/>
              <w:jc w:val="left"/>
            </w:pPr>
            <w:r>
              <w:rPr/>
              <w:t>2025年信息化安全运维服务</w:t>
            </w:r>
          </w:p>
        </w:tc>
        <w:tc>
          <w:tcPr>
            <w:tcW w:type="dxa" w:w="2076"/>
          </w:tcPr>
          <w:p>
            <w:pPr>
              <w:pStyle w:val="null3"/>
              <w:jc w:val="left"/>
            </w:pPr>
            <w:r>
              <w:rPr/>
              <w:t>安全通告服务</w:t>
            </w:r>
          </w:p>
        </w:tc>
        <w:tc>
          <w:tcPr>
            <w:tcW w:type="dxa" w:w="415"/>
          </w:tcPr>
          <w:p>
            <w:pPr>
              <w:pStyle w:val="null3"/>
              <w:jc w:val="left"/>
            </w:pPr>
            <w:r>
              <w:rPr/>
              <w:t>套</w:t>
            </w:r>
          </w:p>
        </w:tc>
        <w:tc>
          <w:tcPr>
            <w:tcW w:type="dxa" w:w="415"/>
          </w:tcPr>
          <w:p>
            <w:pPr>
              <w:pStyle w:val="null3"/>
              <w:jc w:val="left"/>
            </w:pPr>
            <w:r>
              <w:rPr/>
              <w:t>元</w:t>
            </w:r>
          </w:p>
        </w:tc>
        <w:tc>
          <w:tcPr>
            <w:tcW w:type="dxa" w:w="831"/>
          </w:tcPr>
          <w:p>
            <w:pPr>
              <w:pStyle w:val="null3"/>
              <w:jc w:val="right"/>
            </w:pPr>
            <w:r>
              <w:rPr/>
              <w:t>4,000.00</w:t>
            </w:r>
          </w:p>
        </w:tc>
        <w:tc>
          <w:tcPr>
            <w:tcW w:type="dxa" w:w="831"/>
          </w:tcPr>
          <w:p>
            <w:pPr>
              <w:pStyle w:val="null3"/>
              <w:jc w:val="left"/>
            </w:pPr>
            <w:r>
              <w:rPr/>
              <w:t>总价</w:t>
            </w:r>
          </w:p>
        </w:tc>
        <w:tc>
          <w:tcPr>
            <w:tcW w:type="dxa" w:w="1246"/>
          </w:tcPr>
          <w:p>
            <w:pPr>
              <w:pStyle w:val="null3"/>
              <w:jc w:val="left"/>
            </w:pPr>
            <w:r>
              <w:rPr/>
              <w:t>根据最新的安全形势，及时发送安全通告和预警。</w:t>
            </w:r>
          </w:p>
        </w:tc>
      </w:tr>
      <w:tr>
        <w:tc>
          <w:tcPr>
            <w:tcW w:type="dxa" w:w="415"/>
          </w:tcPr>
          <w:p>
            <w:pPr>
              <w:pStyle w:val="null3"/>
              <w:jc w:val="left"/>
            </w:pPr>
            <w:r>
              <w:rPr/>
              <w:t>15</w:t>
            </w:r>
          </w:p>
        </w:tc>
        <w:tc>
          <w:tcPr>
            <w:tcW w:type="dxa" w:w="2076"/>
          </w:tcPr>
          <w:p>
            <w:pPr>
              <w:pStyle w:val="null3"/>
              <w:jc w:val="left"/>
            </w:pPr>
            <w:r>
              <w:rPr/>
              <w:t>2025年信息化安全运维服务</w:t>
            </w:r>
          </w:p>
        </w:tc>
        <w:tc>
          <w:tcPr>
            <w:tcW w:type="dxa" w:w="2076"/>
          </w:tcPr>
          <w:p>
            <w:pPr>
              <w:pStyle w:val="null3"/>
              <w:jc w:val="left"/>
            </w:pPr>
            <w:r>
              <w:rPr/>
              <w:t>安全培训服务</w:t>
            </w:r>
          </w:p>
        </w:tc>
        <w:tc>
          <w:tcPr>
            <w:tcW w:type="dxa" w:w="415"/>
          </w:tcPr>
          <w:p>
            <w:pPr>
              <w:pStyle w:val="null3"/>
              <w:jc w:val="left"/>
            </w:pPr>
            <w:r>
              <w:rPr/>
              <w:t>次</w:t>
            </w:r>
          </w:p>
        </w:tc>
        <w:tc>
          <w:tcPr>
            <w:tcW w:type="dxa" w:w="415"/>
          </w:tcPr>
          <w:p>
            <w:pPr>
              <w:pStyle w:val="null3"/>
              <w:jc w:val="left"/>
            </w:pPr>
            <w:r>
              <w:rPr/>
              <w:t>元</w:t>
            </w:r>
          </w:p>
        </w:tc>
        <w:tc>
          <w:tcPr>
            <w:tcW w:type="dxa" w:w="831"/>
          </w:tcPr>
          <w:p>
            <w:pPr>
              <w:pStyle w:val="null3"/>
              <w:jc w:val="right"/>
            </w:pPr>
            <w:r>
              <w:rPr/>
              <w:t>4,000.00</w:t>
            </w:r>
          </w:p>
        </w:tc>
        <w:tc>
          <w:tcPr>
            <w:tcW w:type="dxa" w:w="831"/>
          </w:tcPr>
          <w:p>
            <w:pPr>
              <w:pStyle w:val="null3"/>
              <w:jc w:val="left"/>
            </w:pPr>
            <w:r>
              <w:rPr/>
              <w:t>总价</w:t>
            </w:r>
          </w:p>
        </w:tc>
        <w:tc>
          <w:tcPr>
            <w:tcW w:type="dxa" w:w="1246"/>
          </w:tcPr>
          <w:p>
            <w:pPr>
              <w:pStyle w:val="null3"/>
              <w:jc w:val="left"/>
            </w:pPr>
            <w:r>
              <w:rPr/>
              <w:t>每年1次集中安全基础技术培训，提供相应课程教材</w:t>
            </w:r>
          </w:p>
        </w:tc>
      </w:tr>
      <w:tr>
        <w:tc>
          <w:tcPr>
            <w:tcW w:type="dxa" w:w="415"/>
          </w:tcPr>
          <w:p>
            <w:pPr>
              <w:pStyle w:val="null3"/>
              <w:jc w:val="left"/>
            </w:pPr>
            <w:r>
              <w:rPr/>
              <w:t>16</w:t>
            </w:r>
          </w:p>
        </w:tc>
        <w:tc>
          <w:tcPr>
            <w:tcW w:type="dxa" w:w="2076"/>
          </w:tcPr>
          <w:p>
            <w:pPr>
              <w:pStyle w:val="null3"/>
              <w:jc w:val="left"/>
            </w:pPr>
            <w:r>
              <w:rPr/>
              <w:t>2025年信息化安全运维服务</w:t>
            </w:r>
          </w:p>
        </w:tc>
        <w:tc>
          <w:tcPr>
            <w:tcW w:type="dxa" w:w="2076"/>
          </w:tcPr>
          <w:p>
            <w:pPr>
              <w:pStyle w:val="null3"/>
              <w:jc w:val="left"/>
            </w:pPr>
            <w:r>
              <w:rPr/>
              <w:t>演练支撑服务</w:t>
            </w:r>
          </w:p>
        </w:tc>
        <w:tc>
          <w:tcPr>
            <w:tcW w:type="dxa" w:w="415"/>
          </w:tcPr>
          <w:p>
            <w:pPr>
              <w:pStyle w:val="null3"/>
              <w:jc w:val="left"/>
            </w:pPr>
            <w:r>
              <w:rPr/>
              <w:t>次</w:t>
            </w:r>
          </w:p>
        </w:tc>
        <w:tc>
          <w:tcPr>
            <w:tcW w:type="dxa" w:w="415"/>
          </w:tcPr>
          <w:p>
            <w:pPr>
              <w:pStyle w:val="null3"/>
              <w:jc w:val="left"/>
            </w:pPr>
            <w:r>
              <w:rPr/>
              <w:t>元</w:t>
            </w:r>
          </w:p>
        </w:tc>
        <w:tc>
          <w:tcPr>
            <w:tcW w:type="dxa" w:w="831"/>
          </w:tcPr>
          <w:p>
            <w:pPr>
              <w:pStyle w:val="null3"/>
              <w:jc w:val="right"/>
            </w:pPr>
            <w:r>
              <w:rPr/>
              <w:t>18,000.00</w:t>
            </w:r>
          </w:p>
        </w:tc>
        <w:tc>
          <w:tcPr>
            <w:tcW w:type="dxa" w:w="831"/>
          </w:tcPr>
          <w:p>
            <w:pPr>
              <w:pStyle w:val="null3"/>
              <w:jc w:val="left"/>
            </w:pPr>
            <w:r>
              <w:rPr/>
              <w:t>总价</w:t>
            </w:r>
          </w:p>
        </w:tc>
        <w:tc>
          <w:tcPr>
            <w:tcW w:type="dxa" w:w="1246"/>
          </w:tcPr>
          <w:p>
            <w:pPr>
              <w:pStyle w:val="null3"/>
              <w:jc w:val="left"/>
            </w:pPr>
            <w:r>
              <w:rPr/>
              <w:t>协助中心参与上级主管部门组织的攻防演练活动，一年至少一次，安排技术人员进行值守保障工作，并按照要求提供相关台账材料。</w:t>
            </w:r>
          </w:p>
        </w:tc>
      </w:tr>
      <w:tr>
        <w:tc>
          <w:tcPr>
            <w:tcW w:type="dxa" w:w="415"/>
          </w:tcPr>
          <w:p>
            <w:pPr>
              <w:pStyle w:val="null3"/>
              <w:jc w:val="left"/>
            </w:pPr>
            <w:r>
              <w:rPr/>
              <w:t>17</w:t>
            </w:r>
          </w:p>
        </w:tc>
        <w:tc>
          <w:tcPr>
            <w:tcW w:type="dxa" w:w="2076"/>
          </w:tcPr>
          <w:p>
            <w:pPr>
              <w:pStyle w:val="null3"/>
              <w:jc w:val="left"/>
            </w:pPr>
            <w:r>
              <w:rPr/>
              <w:t>2025年信息化安全运维服务</w:t>
            </w:r>
          </w:p>
        </w:tc>
        <w:tc>
          <w:tcPr>
            <w:tcW w:type="dxa" w:w="2076"/>
          </w:tcPr>
          <w:p>
            <w:pPr>
              <w:pStyle w:val="null3"/>
              <w:jc w:val="left"/>
            </w:pPr>
            <w:r>
              <w:rPr/>
              <w:t>安全咨询服务</w:t>
            </w:r>
          </w:p>
        </w:tc>
        <w:tc>
          <w:tcPr>
            <w:tcW w:type="dxa" w:w="415"/>
          </w:tcPr>
          <w:p>
            <w:pPr>
              <w:pStyle w:val="null3"/>
              <w:jc w:val="left"/>
            </w:pPr>
            <w:r>
              <w:rPr/>
              <w:t>项</w:t>
            </w:r>
          </w:p>
        </w:tc>
        <w:tc>
          <w:tcPr>
            <w:tcW w:type="dxa" w:w="415"/>
          </w:tcPr>
          <w:p>
            <w:pPr>
              <w:pStyle w:val="null3"/>
              <w:jc w:val="left"/>
            </w:pPr>
            <w:r>
              <w:rPr/>
              <w:t>元</w:t>
            </w:r>
          </w:p>
        </w:tc>
        <w:tc>
          <w:tcPr>
            <w:tcW w:type="dxa" w:w="831"/>
          </w:tcPr>
          <w:p>
            <w:pPr>
              <w:pStyle w:val="null3"/>
              <w:jc w:val="right"/>
            </w:pPr>
            <w:r>
              <w:rPr/>
              <w:t>5,000.00</w:t>
            </w:r>
          </w:p>
        </w:tc>
        <w:tc>
          <w:tcPr>
            <w:tcW w:type="dxa" w:w="831"/>
          </w:tcPr>
          <w:p>
            <w:pPr>
              <w:pStyle w:val="null3"/>
              <w:jc w:val="left"/>
            </w:pPr>
            <w:r>
              <w:rPr/>
              <w:t>总价</w:t>
            </w:r>
          </w:p>
        </w:tc>
        <w:tc>
          <w:tcPr>
            <w:tcW w:type="dxa" w:w="1246"/>
          </w:tcPr>
          <w:p>
            <w:pPr>
              <w:pStyle w:val="null3"/>
              <w:jc w:val="left"/>
            </w:pPr>
            <w:r>
              <w:rPr/>
              <w:t>提供信息化规划、技术体系等上的支撑</w:t>
            </w:r>
          </w:p>
        </w:tc>
      </w:tr>
      <w:tr>
        <w:tc>
          <w:tcPr>
            <w:tcW w:type="dxa" w:w="415"/>
          </w:tcPr>
          <w:p>
            <w:pPr>
              <w:pStyle w:val="null3"/>
              <w:jc w:val="left"/>
            </w:pPr>
            <w:r>
              <w:rPr/>
              <w:t>18</w:t>
            </w:r>
          </w:p>
        </w:tc>
        <w:tc>
          <w:tcPr>
            <w:tcW w:type="dxa" w:w="2076"/>
          </w:tcPr>
          <w:p>
            <w:pPr>
              <w:pStyle w:val="null3"/>
              <w:jc w:val="left"/>
            </w:pPr>
            <w:r>
              <w:rPr/>
              <w:t>2025年信息化安全运维服务</w:t>
            </w:r>
          </w:p>
        </w:tc>
        <w:tc>
          <w:tcPr>
            <w:tcW w:type="dxa" w:w="2076"/>
          </w:tcPr>
          <w:p>
            <w:pPr>
              <w:pStyle w:val="null3"/>
              <w:jc w:val="left"/>
            </w:pPr>
            <w:r>
              <w:rPr/>
              <w:t>基础制度文档编写服务</w:t>
            </w:r>
          </w:p>
        </w:tc>
        <w:tc>
          <w:tcPr>
            <w:tcW w:type="dxa" w:w="415"/>
          </w:tcPr>
          <w:p>
            <w:pPr>
              <w:pStyle w:val="null3"/>
              <w:jc w:val="left"/>
            </w:pPr>
            <w:r>
              <w:rPr/>
              <w:t>项</w:t>
            </w:r>
          </w:p>
        </w:tc>
        <w:tc>
          <w:tcPr>
            <w:tcW w:type="dxa" w:w="415"/>
          </w:tcPr>
          <w:p>
            <w:pPr>
              <w:pStyle w:val="null3"/>
              <w:jc w:val="left"/>
            </w:pPr>
            <w:r>
              <w:rPr/>
              <w:t>元</w:t>
            </w:r>
          </w:p>
        </w:tc>
        <w:tc>
          <w:tcPr>
            <w:tcW w:type="dxa" w:w="831"/>
          </w:tcPr>
          <w:p>
            <w:pPr>
              <w:pStyle w:val="null3"/>
              <w:jc w:val="right"/>
            </w:pPr>
            <w:r>
              <w:rPr/>
              <w:t>5,000.00</w:t>
            </w:r>
          </w:p>
        </w:tc>
        <w:tc>
          <w:tcPr>
            <w:tcW w:type="dxa" w:w="831"/>
          </w:tcPr>
          <w:p>
            <w:pPr>
              <w:pStyle w:val="null3"/>
              <w:jc w:val="left"/>
            </w:pPr>
            <w:r>
              <w:rPr/>
              <w:t>总价</w:t>
            </w:r>
          </w:p>
        </w:tc>
        <w:tc>
          <w:tcPr>
            <w:tcW w:type="dxa" w:w="1246"/>
          </w:tcPr>
          <w:p>
            <w:pPr>
              <w:pStyle w:val="null3"/>
              <w:jc w:val="left"/>
            </w:pPr>
            <w:r>
              <w:rPr/>
              <w:t>按照等级保护要求及ISO27000要求编写文档。</w:t>
            </w:r>
          </w:p>
        </w:tc>
      </w:tr>
      <w:tr>
        <w:tc>
          <w:tcPr>
            <w:tcW w:type="dxa" w:w="415"/>
          </w:tcPr>
          <w:p>
            <w:pPr>
              <w:pStyle w:val="null3"/>
              <w:jc w:val="left"/>
            </w:pPr>
            <w:r>
              <w:rPr/>
              <w:t>19</w:t>
            </w:r>
          </w:p>
        </w:tc>
        <w:tc>
          <w:tcPr>
            <w:tcW w:type="dxa" w:w="2076"/>
          </w:tcPr>
          <w:p>
            <w:pPr>
              <w:pStyle w:val="null3"/>
              <w:jc w:val="left"/>
            </w:pPr>
            <w:r>
              <w:rPr/>
              <w:t>2025年信息化安全运维服务</w:t>
            </w:r>
          </w:p>
        </w:tc>
        <w:tc>
          <w:tcPr>
            <w:tcW w:type="dxa" w:w="2076"/>
          </w:tcPr>
          <w:p>
            <w:pPr>
              <w:pStyle w:val="null3"/>
              <w:jc w:val="left"/>
            </w:pPr>
            <w:r>
              <w:rPr/>
              <w:t>应急响应服务</w:t>
            </w:r>
          </w:p>
        </w:tc>
        <w:tc>
          <w:tcPr>
            <w:tcW w:type="dxa" w:w="415"/>
          </w:tcPr>
          <w:p>
            <w:pPr>
              <w:pStyle w:val="null3"/>
              <w:jc w:val="left"/>
            </w:pPr>
            <w:r>
              <w:rPr/>
              <w:t>项</w:t>
            </w:r>
          </w:p>
        </w:tc>
        <w:tc>
          <w:tcPr>
            <w:tcW w:type="dxa" w:w="415"/>
          </w:tcPr>
          <w:p>
            <w:pPr>
              <w:pStyle w:val="null3"/>
              <w:jc w:val="left"/>
            </w:pPr>
            <w:r>
              <w:rPr/>
              <w:t>元</w:t>
            </w:r>
          </w:p>
        </w:tc>
        <w:tc>
          <w:tcPr>
            <w:tcW w:type="dxa" w:w="831"/>
          </w:tcPr>
          <w:p>
            <w:pPr>
              <w:pStyle w:val="null3"/>
              <w:jc w:val="right"/>
            </w:pPr>
            <w:r>
              <w:rPr/>
              <w:t>5,000.00</w:t>
            </w:r>
          </w:p>
        </w:tc>
        <w:tc>
          <w:tcPr>
            <w:tcW w:type="dxa" w:w="831"/>
          </w:tcPr>
          <w:p>
            <w:pPr>
              <w:pStyle w:val="null3"/>
              <w:jc w:val="left"/>
            </w:pPr>
            <w:r>
              <w:rPr/>
              <w:t>总价</w:t>
            </w:r>
          </w:p>
        </w:tc>
        <w:tc>
          <w:tcPr>
            <w:tcW w:type="dxa" w:w="1246"/>
          </w:tcPr>
          <w:p>
            <w:pPr>
              <w:pStyle w:val="null3"/>
              <w:jc w:val="left"/>
            </w:pPr>
            <w:r>
              <w:rPr/>
              <w:t>全天候，1小时到达现场，每次提供相应的响应报告，找出根源并提供可行解决方案（远程无法解决的安全事件）</w:t>
            </w:r>
          </w:p>
        </w:tc>
      </w:tr>
      <w:tr>
        <w:tc>
          <w:tcPr>
            <w:tcW w:type="dxa" w:w="415"/>
          </w:tcPr>
          <w:p>
            <w:pPr>
              <w:pStyle w:val="null3"/>
              <w:jc w:val="left"/>
            </w:pPr>
            <w:r>
              <w:rPr/>
              <w:t>20</w:t>
            </w:r>
          </w:p>
        </w:tc>
        <w:tc>
          <w:tcPr>
            <w:tcW w:type="dxa" w:w="2076"/>
          </w:tcPr>
          <w:p>
            <w:pPr>
              <w:pStyle w:val="null3"/>
              <w:jc w:val="left"/>
            </w:pPr>
            <w:r>
              <w:rPr/>
              <w:t>2025年信息化安全运维服务</w:t>
            </w:r>
          </w:p>
        </w:tc>
        <w:tc>
          <w:tcPr>
            <w:tcW w:type="dxa" w:w="2076"/>
          </w:tcPr>
          <w:p>
            <w:pPr>
              <w:pStyle w:val="null3"/>
              <w:jc w:val="left"/>
            </w:pPr>
            <w:r>
              <w:rPr/>
              <w:t>专题保障服务</w:t>
            </w:r>
          </w:p>
        </w:tc>
        <w:tc>
          <w:tcPr>
            <w:tcW w:type="dxa" w:w="415"/>
          </w:tcPr>
          <w:p>
            <w:pPr>
              <w:pStyle w:val="null3"/>
              <w:jc w:val="left"/>
            </w:pPr>
            <w:r>
              <w:rPr/>
              <w:t>项</w:t>
            </w:r>
          </w:p>
        </w:tc>
        <w:tc>
          <w:tcPr>
            <w:tcW w:type="dxa" w:w="415"/>
          </w:tcPr>
          <w:p>
            <w:pPr>
              <w:pStyle w:val="null3"/>
              <w:jc w:val="left"/>
            </w:pPr>
            <w:r>
              <w:rPr/>
              <w:t>元</w:t>
            </w:r>
          </w:p>
        </w:tc>
        <w:tc>
          <w:tcPr>
            <w:tcW w:type="dxa" w:w="831"/>
          </w:tcPr>
          <w:p>
            <w:pPr>
              <w:pStyle w:val="null3"/>
              <w:jc w:val="right"/>
            </w:pPr>
            <w:r>
              <w:rPr/>
              <w:t>5,000.00</w:t>
            </w:r>
          </w:p>
        </w:tc>
        <w:tc>
          <w:tcPr>
            <w:tcW w:type="dxa" w:w="831"/>
          </w:tcPr>
          <w:p>
            <w:pPr>
              <w:pStyle w:val="null3"/>
              <w:jc w:val="left"/>
            </w:pPr>
            <w:r>
              <w:rPr/>
              <w:t>总价</w:t>
            </w:r>
          </w:p>
        </w:tc>
        <w:tc>
          <w:tcPr>
            <w:tcW w:type="dxa" w:w="1246"/>
          </w:tcPr>
          <w:p>
            <w:pPr>
              <w:pStyle w:val="null3"/>
              <w:jc w:val="left"/>
            </w:pPr>
            <w:r>
              <w:rPr/>
              <w:t>为全国两会、国庆、国际会议等重大活动提供特殊保障服务。</w:t>
            </w:r>
          </w:p>
        </w:tc>
      </w:tr>
      <w:tr>
        <w:tc>
          <w:tcPr>
            <w:tcW w:type="dxa" w:w="415"/>
          </w:tcPr>
          <w:p>
            <w:pPr>
              <w:pStyle w:val="null3"/>
              <w:jc w:val="left"/>
            </w:pPr>
            <w:r>
              <w:rPr/>
              <w:t>21</w:t>
            </w:r>
          </w:p>
        </w:tc>
        <w:tc>
          <w:tcPr>
            <w:tcW w:type="dxa" w:w="2076"/>
          </w:tcPr>
          <w:p>
            <w:pPr>
              <w:pStyle w:val="null3"/>
              <w:jc w:val="left"/>
            </w:pPr>
            <w:r>
              <w:rPr/>
              <w:t>2025年信息化安全运维服务</w:t>
            </w:r>
          </w:p>
        </w:tc>
        <w:tc>
          <w:tcPr>
            <w:tcW w:type="dxa" w:w="2076"/>
          </w:tcPr>
          <w:p>
            <w:pPr>
              <w:pStyle w:val="null3"/>
              <w:jc w:val="left"/>
            </w:pPr>
            <w:r>
              <w:rPr/>
              <w:t>检查支撑服务</w:t>
            </w:r>
          </w:p>
        </w:tc>
        <w:tc>
          <w:tcPr>
            <w:tcW w:type="dxa" w:w="415"/>
          </w:tcPr>
          <w:p>
            <w:pPr>
              <w:pStyle w:val="null3"/>
              <w:jc w:val="left"/>
            </w:pPr>
            <w:r>
              <w:rPr/>
              <w:t>项</w:t>
            </w:r>
          </w:p>
        </w:tc>
        <w:tc>
          <w:tcPr>
            <w:tcW w:type="dxa" w:w="415"/>
          </w:tcPr>
          <w:p>
            <w:pPr>
              <w:pStyle w:val="null3"/>
              <w:jc w:val="left"/>
            </w:pPr>
            <w:r>
              <w:rPr/>
              <w:t>元</w:t>
            </w:r>
          </w:p>
        </w:tc>
        <w:tc>
          <w:tcPr>
            <w:tcW w:type="dxa" w:w="831"/>
          </w:tcPr>
          <w:p>
            <w:pPr>
              <w:pStyle w:val="null3"/>
              <w:jc w:val="right"/>
            </w:pPr>
            <w:r>
              <w:rPr/>
              <w:t>10,000.00</w:t>
            </w:r>
          </w:p>
        </w:tc>
        <w:tc>
          <w:tcPr>
            <w:tcW w:type="dxa" w:w="831"/>
          </w:tcPr>
          <w:p>
            <w:pPr>
              <w:pStyle w:val="null3"/>
              <w:jc w:val="left"/>
            </w:pPr>
            <w:r>
              <w:rPr/>
              <w:t>总价</w:t>
            </w:r>
          </w:p>
        </w:tc>
        <w:tc>
          <w:tcPr>
            <w:tcW w:type="dxa" w:w="1246"/>
          </w:tcPr>
          <w:p>
            <w:pPr>
              <w:pStyle w:val="null3"/>
              <w:jc w:val="left"/>
            </w:pPr>
            <w:r>
              <w:rPr/>
              <w:t>针对中心收到的上级部门或者监管单位下发网络安全相关的通知或者文件要求，安排工程师提供相关的支撑工作。针对中心收到的上级部门或者监管单位下发网络安全相关的通知或者文件要求，安排工程师提供相关的支撑工作。</w:t>
            </w:r>
          </w:p>
        </w:tc>
      </w:tr>
      <w:tr>
        <w:tc>
          <w:tcPr>
            <w:tcW w:type="dxa" w:w="415"/>
          </w:tcPr>
          <w:p>
            <w:pPr>
              <w:pStyle w:val="null3"/>
              <w:jc w:val="left"/>
            </w:pPr>
            <w:r>
              <w:rPr/>
              <w:t>22</w:t>
            </w:r>
          </w:p>
        </w:tc>
        <w:tc>
          <w:tcPr>
            <w:tcW w:type="dxa" w:w="2076"/>
          </w:tcPr>
          <w:p>
            <w:pPr>
              <w:pStyle w:val="null3"/>
              <w:jc w:val="left"/>
            </w:pPr>
            <w:r>
              <w:rPr/>
              <w:t>2025年信息化安全运维服务</w:t>
            </w:r>
          </w:p>
        </w:tc>
        <w:tc>
          <w:tcPr>
            <w:tcW w:type="dxa" w:w="2076"/>
          </w:tcPr>
          <w:p>
            <w:pPr>
              <w:pStyle w:val="null3"/>
              <w:jc w:val="left"/>
            </w:pPr>
            <w:r>
              <w:rPr/>
              <w:t>应急演练服务</w:t>
            </w:r>
          </w:p>
        </w:tc>
        <w:tc>
          <w:tcPr>
            <w:tcW w:type="dxa" w:w="415"/>
          </w:tcPr>
          <w:p>
            <w:pPr>
              <w:pStyle w:val="null3"/>
              <w:jc w:val="left"/>
            </w:pPr>
            <w:r>
              <w:rPr/>
              <w:t>次</w:t>
            </w:r>
          </w:p>
        </w:tc>
        <w:tc>
          <w:tcPr>
            <w:tcW w:type="dxa" w:w="415"/>
          </w:tcPr>
          <w:p>
            <w:pPr>
              <w:pStyle w:val="null3"/>
              <w:jc w:val="left"/>
            </w:pPr>
            <w:r>
              <w:rPr/>
              <w:t>元</w:t>
            </w:r>
          </w:p>
        </w:tc>
        <w:tc>
          <w:tcPr>
            <w:tcW w:type="dxa" w:w="831"/>
          </w:tcPr>
          <w:p>
            <w:pPr>
              <w:pStyle w:val="null3"/>
              <w:jc w:val="right"/>
            </w:pPr>
            <w:r>
              <w:rPr/>
              <w:t>43,000.00</w:t>
            </w:r>
          </w:p>
        </w:tc>
        <w:tc>
          <w:tcPr>
            <w:tcW w:type="dxa" w:w="831"/>
          </w:tcPr>
          <w:p>
            <w:pPr>
              <w:pStyle w:val="null3"/>
              <w:jc w:val="left"/>
            </w:pPr>
            <w:r>
              <w:rPr/>
              <w:t>总价</w:t>
            </w:r>
          </w:p>
        </w:tc>
        <w:tc>
          <w:tcPr>
            <w:tcW w:type="dxa" w:w="1246"/>
          </w:tcPr>
          <w:p>
            <w:pPr>
              <w:pStyle w:val="null3"/>
              <w:jc w:val="left"/>
            </w:pPr>
            <w:r>
              <w:rPr/>
              <w:t>在服务期内按照中心要求组织一次针对全省治超监测监控指挥中心平台软件的实战演练服务</w:t>
            </w:r>
          </w:p>
        </w:tc>
      </w:tr>
      <w:tr>
        <w:tc>
          <w:tcPr>
            <w:tcW w:type="dxa" w:w="415"/>
          </w:tcPr>
          <w:p>
            <w:pPr>
              <w:pStyle w:val="null3"/>
              <w:jc w:val="left"/>
            </w:pPr>
            <w:r>
              <w:rPr/>
              <w:t>23</w:t>
            </w:r>
          </w:p>
        </w:tc>
        <w:tc>
          <w:tcPr>
            <w:tcW w:type="dxa" w:w="2076"/>
          </w:tcPr>
          <w:p>
            <w:pPr>
              <w:pStyle w:val="null3"/>
              <w:jc w:val="left"/>
            </w:pPr>
            <w:r>
              <w:rPr/>
              <w:t>2025年信息化安全运维服务</w:t>
            </w:r>
          </w:p>
        </w:tc>
        <w:tc>
          <w:tcPr>
            <w:tcW w:type="dxa" w:w="2076"/>
          </w:tcPr>
          <w:p>
            <w:pPr>
              <w:pStyle w:val="null3"/>
              <w:jc w:val="left"/>
            </w:pPr>
            <w:r>
              <w:rPr/>
              <w:t>终端防护服务</w:t>
            </w:r>
          </w:p>
        </w:tc>
        <w:tc>
          <w:tcPr>
            <w:tcW w:type="dxa" w:w="415"/>
          </w:tcPr>
          <w:p>
            <w:pPr>
              <w:pStyle w:val="null3"/>
              <w:jc w:val="left"/>
            </w:pPr>
            <w:r>
              <w:rPr/>
              <w:t>套</w:t>
            </w:r>
          </w:p>
        </w:tc>
        <w:tc>
          <w:tcPr>
            <w:tcW w:type="dxa" w:w="415"/>
          </w:tcPr>
          <w:p>
            <w:pPr>
              <w:pStyle w:val="null3"/>
              <w:jc w:val="left"/>
            </w:pPr>
            <w:r>
              <w:rPr/>
              <w:t>元</w:t>
            </w:r>
          </w:p>
        </w:tc>
        <w:tc>
          <w:tcPr>
            <w:tcW w:type="dxa" w:w="831"/>
          </w:tcPr>
          <w:p>
            <w:pPr>
              <w:pStyle w:val="null3"/>
              <w:jc w:val="right"/>
            </w:pPr>
            <w:r>
              <w:rPr/>
              <w:t>5,000.00</w:t>
            </w:r>
          </w:p>
        </w:tc>
        <w:tc>
          <w:tcPr>
            <w:tcW w:type="dxa" w:w="831"/>
          </w:tcPr>
          <w:p>
            <w:pPr>
              <w:pStyle w:val="null3"/>
              <w:jc w:val="left"/>
            </w:pPr>
            <w:r>
              <w:rPr/>
              <w:t>总价</w:t>
            </w:r>
          </w:p>
        </w:tc>
        <w:tc>
          <w:tcPr>
            <w:tcW w:type="dxa" w:w="1246"/>
          </w:tcPr>
          <w:p>
            <w:pPr>
              <w:pStyle w:val="null3"/>
              <w:jc w:val="left"/>
            </w:pPr>
            <w:r>
              <w:rPr/>
              <w:t>在服务期内为中心提供终端安全防护服务，提升日常办公终端的安全。</w:t>
            </w:r>
          </w:p>
        </w:tc>
      </w:tr>
      <w:tr>
        <w:tc>
          <w:tcPr>
            <w:tcW w:type="dxa" w:w="415"/>
          </w:tcPr>
          <w:p>
            <w:pPr>
              <w:pStyle w:val="null3"/>
              <w:jc w:val="left"/>
            </w:pPr>
            <w:r>
              <w:rPr/>
              <w:t>24</w:t>
            </w:r>
          </w:p>
        </w:tc>
        <w:tc>
          <w:tcPr>
            <w:tcW w:type="dxa" w:w="2076"/>
          </w:tcPr>
          <w:p>
            <w:pPr>
              <w:pStyle w:val="null3"/>
              <w:jc w:val="left"/>
            </w:pPr>
            <w:r>
              <w:rPr/>
              <w:t>2025年信息化安全运维服务</w:t>
            </w:r>
          </w:p>
        </w:tc>
        <w:tc>
          <w:tcPr>
            <w:tcW w:type="dxa" w:w="2076"/>
          </w:tcPr>
          <w:p>
            <w:pPr>
              <w:pStyle w:val="null3"/>
              <w:jc w:val="left"/>
            </w:pPr>
            <w:r>
              <w:rPr/>
              <w:t>机房安全防护服务</w:t>
            </w:r>
          </w:p>
        </w:tc>
        <w:tc>
          <w:tcPr>
            <w:tcW w:type="dxa" w:w="415"/>
          </w:tcPr>
          <w:p>
            <w:pPr>
              <w:pStyle w:val="null3"/>
              <w:jc w:val="left"/>
            </w:pPr>
            <w:r>
              <w:rPr/>
              <w:t>项</w:t>
            </w:r>
          </w:p>
        </w:tc>
        <w:tc>
          <w:tcPr>
            <w:tcW w:type="dxa" w:w="415"/>
          </w:tcPr>
          <w:p>
            <w:pPr>
              <w:pStyle w:val="null3"/>
              <w:jc w:val="left"/>
            </w:pPr>
            <w:r>
              <w:rPr/>
              <w:t>元</w:t>
            </w:r>
          </w:p>
        </w:tc>
        <w:tc>
          <w:tcPr>
            <w:tcW w:type="dxa" w:w="831"/>
          </w:tcPr>
          <w:p>
            <w:pPr>
              <w:pStyle w:val="null3"/>
              <w:jc w:val="right"/>
            </w:pPr>
            <w:r>
              <w:rPr/>
              <w:t>10,000.00</w:t>
            </w:r>
          </w:p>
        </w:tc>
        <w:tc>
          <w:tcPr>
            <w:tcW w:type="dxa" w:w="831"/>
          </w:tcPr>
          <w:p>
            <w:pPr>
              <w:pStyle w:val="null3"/>
              <w:jc w:val="left"/>
            </w:pPr>
            <w:r>
              <w:rPr/>
              <w:t>总价</w:t>
            </w:r>
          </w:p>
        </w:tc>
        <w:tc>
          <w:tcPr>
            <w:tcW w:type="dxa" w:w="1246"/>
          </w:tcPr>
          <w:p>
            <w:pPr>
              <w:pStyle w:val="null3"/>
              <w:jc w:val="left"/>
            </w:pPr>
            <w:r>
              <w:rPr/>
              <w:t>加强中心本地机房安全防护，包括但不限于安全设备更新，提供设备扩容、版本更新，特征库进行升级，现场支持、故障响应修复备机等安全服务。</w:t>
            </w:r>
          </w:p>
        </w:tc>
      </w:tr>
      <w:tr>
        <w:tc>
          <w:tcPr>
            <w:tcW w:type="dxa" w:w="415"/>
          </w:tcPr>
          <w:p>
            <w:pPr>
              <w:pStyle w:val="null3"/>
              <w:jc w:val="left"/>
            </w:pPr>
            <w:r>
              <w:rPr/>
              <w:t>25</w:t>
            </w:r>
          </w:p>
        </w:tc>
        <w:tc>
          <w:tcPr>
            <w:tcW w:type="dxa" w:w="2076"/>
          </w:tcPr>
          <w:p>
            <w:pPr>
              <w:pStyle w:val="null3"/>
              <w:jc w:val="left"/>
            </w:pPr>
            <w:r>
              <w:rPr/>
              <w:t>2025年信息化安全运维服务</w:t>
            </w:r>
          </w:p>
        </w:tc>
        <w:tc>
          <w:tcPr>
            <w:tcW w:type="dxa" w:w="2076"/>
          </w:tcPr>
          <w:p>
            <w:pPr>
              <w:pStyle w:val="null3"/>
              <w:jc w:val="left"/>
            </w:pPr>
            <w:r>
              <w:rPr/>
              <w:t>文件内容审核服务</w:t>
            </w:r>
          </w:p>
        </w:tc>
        <w:tc>
          <w:tcPr>
            <w:tcW w:type="dxa" w:w="415"/>
          </w:tcPr>
          <w:p>
            <w:pPr>
              <w:pStyle w:val="null3"/>
              <w:jc w:val="left"/>
            </w:pPr>
            <w:r>
              <w:rPr/>
              <w:t>项</w:t>
            </w:r>
          </w:p>
        </w:tc>
        <w:tc>
          <w:tcPr>
            <w:tcW w:type="dxa" w:w="415"/>
          </w:tcPr>
          <w:p>
            <w:pPr>
              <w:pStyle w:val="null3"/>
              <w:jc w:val="left"/>
            </w:pPr>
            <w:r>
              <w:rPr/>
              <w:t>元</w:t>
            </w:r>
          </w:p>
        </w:tc>
        <w:tc>
          <w:tcPr>
            <w:tcW w:type="dxa" w:w="831"/>
          </w:tcPr>
          <w:p>
            <w:pPr>
              <w:pStyle w:val="null3"/>
              <w:jc w:val="right"/>
            </w:pPr>
            <w:r>
              <w:rPr/>
              <w:t>30,000.00</w:t>
            </w:r>
          </w:p>
        </w:tc>
        <w:tc>
          <w:tcPr>
            <w:tcW w:type="dxa" w:w="831"/>
          </w:tcPr>
          <w:p>
            <w:pPr>
              <w:pStyle w:val="null3"/>
              <w:jc w:val="left"/>
            </w:pPr>
            <w:r>
              <w:rPr/>
              <w:t>总价</w:t>
            </w:r>
          </w:p>
        </w:tc>
        <w:tc>
          <w:tcPr>
            <w:tcW w:type="dxa" w:w="1246"/>
          </w:tcPr>
          <w:p>
            <w:pPr>
              <w:pStyle w:val="null3"/>
              <w:jc w:val="left"/>
            </w:pPr>
            <w:r>
              <w:rPr/>
              <w:t>提供线上平台或软件，对文件内容进行审核。用户在平台上输入文字内容或提交文件后，平台对内容中文字错误、语法格式错误、不良文字、重要内容表述错误等问题进行提示，并给出正确的参考意见。</w:t>
            </w:r>
          </w:p>
        </w:tc>
      </w:tr>
      <w:tr>
        <w:tc>
          <w:tcPr>
            <w:tcW w:type="dxa" w:w="415"/>
          </w:tcPr>
          <w:p>
            <w:pPr>
              <w:pStyle w:val="null3"/>
              <w:jc w:val="left"/>
            </w:pPr>
            <w:r>
              <w:rPr/>
              <w:t>26</w:t>
            </w:r>
          </w:p>
        </w:tc>
        <w:tc>
          <w:tcPr>
            <w:tcW w:type="dxa" w:w="2076"/>
          </w:tcPr>
          <w:p>
            <w:pPr>
              <w:pStyle w:val="null3"/>
              <w:jc w:val="left"/>
            </w:pPr>
            <w:r>
              <w:rPr/>
              <w:t>2025年信息化安全运维服务</w:t>
            </w:r>
          </w:p>
        </w:tc>
        <w:tc>
          <w:tcPr>
            <w:tcW w:type="dxa" w:w="2076"/>
          </w:tcPr>
          <w:p>
            <w:pPr>
              <w:pStyle w:val="null3"/>
              <w:jc w:val="left"/>
            </w:pPr>
            <w:r>
              <w:rPr/>
              <w:t>大屏内容监测服务</w:t>
            </w:r>
          </w:p>
        </w:tc>
        <w:tc>
          <w:tcPr>
            <w:tcW w:type="dxa" w:w="415"/>
          </w:tcPr>
          <w:p>
            <w:pPr>
              <w:pStyle w:val="null3"/>
              <w:jc w:val="left"/>
            </w:pPr>
            <w:r>
              <w:rPr/>
              <w:t>项</w:t>
            </w:r>
          </w:p>
        </w:tc>
        <w:tc>
          <w:tcPr>
            <w:tcW w:type="dxa" w:w="415"/>
          </w:tcPr>
          <w:p>
            <w:pPr>
              <w:pStyle w:val="null3"/>
              <w:jc w:val="left"/>
            </w:pPr>
            <w:r>
              <w:rPr/>
              <w:t>元</w:t>
            </w:r>
          </w:p>
        </w:tc>
        <w:tc>
          <w:tcPr>
            <w:tcW w:type="dxa" w:w="831"/>
          </w:tcPr>
          <w:p>
            <w:pPr>
              <w:pStyle w:val="null3"/>
              <w:jc w:val="right"/>
            </w:pPr>
            <w:r>
              <w:rPr/>
              <w:t>40,000.00</w:t>
            </w:r>
          </w:p>
        </w:tc>
        <w:tc>
          <w:tcPr>
            <w:tcW w:type="dxa" w:w="831"/>
          </w:tcPr>
          <w:p>
            <w:pPr>
              <w:pStyle w:val="null3"/>
              <w:jc w:val="left"/>
            </w:pPr>
            <w:r>
              <w:rPr/>
              <w:t>总价</w:t>
            </w:r>
          </w:p>
        </w:tc>
        <w:tc>
          <w:tcPr>
            <w:tcW w:type="dxa" w:w="1246"/>
          </w:tcPr>
          <w:p>
            <w:pPr>
              <w:pStyle w:val="null3"/>
              <w:jc w:val="left"/>
            </w:pPr>
            <w:r>
              <w:rPr/>
              <w:t>在中心及政务服务中心大厅部署大屏内容监测设备，对涉黄、涉恐、不良文字内容实时审核拦截，并提供安全替换屏幕内容，防止公共大屏播放不良内容。</w:t>
            </w:r>
          </w:p>
        </w:tc>
      </w:tr>
    </w:tbl>
    <w:p>
      <w:pPr>
        <w:pStyle w:val="null3"/>
      </w:pPr>
      <w:r>
        <w:rPr/>
        <w:t xml:space="preserve"> </w:t>
        <w:br/>
        <w:br w:type="page"/>
      </w:r>
    </w:p>
    <w:p>
      <w:pPr>
        <w:pStyle w:val="null3"/>
        <w:jc w:val="center"/>
        <w:outlineLvl w:val="1"/>
      </w:pPr>
      <w:r>
        <w:rPr>
          <w:sz w:val="36"/>
          <w:b/>
        </w:rPr>
        <w:t>第二章 投标人须知前附表</w:t>
      </w:r>
    </w:p>
    <w:p>
      <w:pPr>
        <w:pStyle w:val="null3"/>
        <w:ind w:firstLine="480"/>
        <w:jc w:val="both"/>
        <w:outlineLvl w:val="2"/>
      </w:pPr>
      <w:r>
        <w:rPr>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t>特别提示：本表与招标文件对应章节的内容若不一致，以本表为准。</w:t>
            </w:r>
          </w:p>
        </w:tc>
      </w:tr>
      <w:tr>
        <w:tc>
          <w:tcPr>
            <w:tcW w:type="dxa" w:w="2769"/>
          </w:tcPr>
          <w:p>
            <w:pPr>
              <w:pStyle w:val="null3"/>
              <w:jc w:val="left"/>
            </w:pPr>
            <w:r>
              <w:rPr/>
              <w:t>序号</w:t>
            </w:r>
          </w:p>
        </w:tc>
        <w:tc>
          <w:tcPr>
            <w:tcW w:type="dxa" w:w="2769"/>
          </w:tcPr>
          <w:p>
            <w:pPr>
              <w:pStyle w:val="null3"/>
              <w:jc w:val="left"/>
            </w:pPr>
            <w:r>
              <w:rPr/>
              <w:t>招标文件</w:t>
            </w:r>
          </w:p>
          <w:p>
            <w:pPr>
              <w:pStyle w:val="null3"/>
              <w:jc w:val="left"/>
            </w:pPr>
            <w:r>
              <w:rPr/>
              <w:t xml:space="preserve"> （第三章）</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6.1</w:t>
            </w:r>
          </w:p>
        </w:tc>
        <w:tc>
          <w:tcPr>
            <w:tcW w:type="dxa" w:w="2769"/>
          </w:tcPr>
          <w:p>
            <w:pPr>
              <w:pStyle w:val="null3"/>
              <w:jc w:val="left"/>
            </w:pPr>
            <w:r>
              <w:rPr/>
              <w:t>是否组织现场考察或召开开标前答疑会：</w:t>
            </w:r>
          </w:p>
          <w:p>
            <w:pPr>
              <w:pStyle w:val="null3"/>
              <w:jc w:val="left"/>
            </w:pPr>
            <w:r>
              <w:rPr/>
              <w:t>采购包1：不组织</w:t>
            </w:r>
          </w:p>
          <w:p>
            <w:pPr>
              <w:pStyle w:val="null3"/>
              <w:jc w:val="left"/>
            </w:pPr>
            <w:r>
              <w:rPr/>
              <w:t>采购包2：不组织</w:t>
            </w:r>
          </w:p>
          <w:p>
            <w:pPr>
              <w:pStyle w:val="null3"/>
              <w:jc w:val="left"/>
            </w:pPr>
            <w:r>
              <w:rPr/>
              <w:t>采购包3：不组织</w:t>
            </w:r>
          </w:p>
        </w:tc>
      </w:tr>
      <w:tr>
        <w:tc>
          <w:tcPr>
            <w:tcW w:type="dxa" w:w="2769"/>
          </w:tcPr>
          <w:p>
            <w:pPr>
              <w:pStyle w:val="null3"/>
              <w:jc w:val="left"/>
            </w:pPr>
            <w:r>
              <w:rPr/>
              <w:t>2</w:t>
            </w:r>
          </w:p>
        </w:tc>
        <w:tc>
          <w:tcPr>
            <w:tcW w:type="dxa" w:w="2769"/>
          </w:tcPr>
          <w:p>
            <w:pPr>
              <w:pStyle w:val="null3"/>
              <w:jc w:val="left"/>
            </w:pPr>
            <w:r>
              <w:rPr/>
              <w:t>10.4</w:t>
            </w:r>
          </w:p>
        </w:tc>
        <w:tc>
          <w:tcPr>
            <w:tcW w:type="dxa" w:w="2769"/>
          </w:tcPr>
          <w:p>
            <w:pPr>
              <w:pStyle w:val="null3"/>
              <w:jc w:val="left"/>
            </w:pPr>
            <w:r>
              <w:rPr/>
              <w:t>投标文件的份数：</w:t>
            </w:r>
          </w:p>
          <w:p>
            <w:pPr>
              <w:pStyle w:val="null3"/>
              <w:jc w:val="left"/>
            </w:pPr>
            <w:r>
              <w:rPr/>
              <w:t xml:space="preserve"> （1）可读介质（光盘或U盘） </w:t>
            </w:r>
            <w:r>
              <w:rPr/>
              <w:t>0</w:t>
            </w:r>
            <w:r>
              <w:rPr/>
              <w:t xml:space="preserve"> 份：投标人应将其上传至福建省政府采购网上公开信息系统的电子投标文件在该可读介质中另存 </w:t>
            </w:r>
            <w:r>
              <w:rPr/>
              <w:t>0</w:t>
            </w:r>
            <w:r>
              <w:rPr/>
              <w:t xml:space="preserve"> 份。</w:t>
            </w:r>
          </w:p>
          <w:p>
            <w:pPr>
              <w:pStyle w:val="null3"/>
              <w:jc w:val="left"/>
            </w:pPr>
            <w:r>
              <w:rPr/>
              <w:t xml:space="preserve"> （2）电子投标文件：详见投标人须知前附表2《关于电子招标投标活动的专门规定》。</w:t>
            </w:r>
          </w:p>
        </w:tc>
      </w:tr>
      <w:tr>
        <w:tc>
          <w:tcPr>
            <w:tcW w:type="dxa" w:w="2769"/>
          </w:tcPr>
          <w:p>
            <w:pPr>
              <w:pStyle w:val="null3"/>
              <w:jc w:val="left"/>
            </w:pPr>
            <w:r>
              <w:rPr/>
              <w:t>3</w:t>
            </w:r>
          </w:p>
        </w:tc>
        <w:tc>
          <w:tcPr>
            <w:tcW w:type="dxa" w:w="2769"/>
          </w:tcPr>
          <w:p>
            <w:pPr>
              <w:pStyle w:val="null3"/>
              <w:jc w:val="left"/>
            </w:pPr>
            <w:r>
              <w:rPr/>
              <w:t>10.7-（1）</w:t>
            </w:r>
          </w:p>
        </w:tc>
        <w:tc>
          <w:tcPr>
            <w:tcW w:type="dxa" w:w="2769"/>
          </w:tcPr>
          <w:p>
            <w:pPr>
              <w:pStyle w:val="null3"/>
              <w:jc w:val="left"/>
            </w:pPr>
            <w:r>
              <w:rPr/>
              <w:t>是否允许中标人将本项目的非主体、非关键性工作进行分包：</w:t>
            </w:r>
          </w:p>
          <w:p>
            <w:pPr>
              <w:pStyle w:val="null3"/>
              <w:jc w:val="left"/>
            </w:pPr>
            <w:r>
              <w:rPr/>
              <w:t>采购包1：不允许合同分包；</w:t>
            </w:r>
          </w:p>
          <w:p>
            <w:pPr>
              <w:pStyle w:val="null3"/>
              <w:jc w:val="left"/>
            </w:pPr>
            <w:r>
              <w:rPr/>
              <w:t>采购包2：不允许合同分包；</w:t>
            </w:r>
          </w:p>
          <w:p>
            <w:pPr>
              <w:pStyle w:val="null3"/>
              <w:jc w:val="left"/>
            </w:pPr>
            <w:r>
              <w:rPr/>
              <w:t>采购包3：不允许合同分包；</w:t>
            </w:r>
          </w:p>
        </w:tc>
      </w:tr>
      <w:tr>
        <w:tc>
          <w:tcPr>
            <w:tcW w:type="dxa" w:w="2769"/>
          </w:tcPr>
          <w:p>
            <w:pPr>
              <w:pStyle w:val="null3"/>
              <w:jc w:val="left"/>
            </w:pPr>
            <w:r>
              <w:rPr/>
              <w:t>4</w:t>
            </w:r>
          </w:p>
        </w:tc>
        <w:tc>
          <w:tcPr>
            <w:tcW w:type="dxa" w:w="2769"/>
          </w:tcPr>
          <w:p>
            <w:pPr>
              <w:pStyle w:val="null3"/>
              <w:jc w:val="left"/>
            </w:pPr>
            <w:r>
              <w:rPr/>
              <w:t>10.8-（1）</w:t>
            </w:r>
          </w:p>
        </w:tc>
        <w:tc>
          <w:tcPr>
            <w:tcW w:type="dxa" w:w="2769"/>
          </w:tcPr>
          <w:p>
            <w:pPr>
              <w:pStyle w:val="null3"/>
              <w:jc w:val="left"/>
            </w:pPr>
            <w:r>
              <w:rPr/>
              <w:t xml:space="preserve">投标有效期：投标截止时间起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12.1</w:t>
            </w:r>
          </w:p>
        </w:tc>
        <w:tc>
          <w:tcPr>
            <w:tcW w:type="dxa" w:w="2769"/>
          </w:tcPr>
          <w:p>
            <w:pPr>
              <w:pStyle w:val="null3"/>
              <w:jc w:val="left"/>
            </w:pPr>
            <w:r>
              <w:rPr/>
              <w:t>确定中标候选人名单：</w:t>
            </w:r>
          </w:p>
          <w:p>
            <w:pPr>
              <w:pStyle w:val="null3"/>
              <w:jc w:val="left"/>
            </w:pPr>
            <w:r>
              <w:rPr/>
              <w:t>采购包1：1名</w:t>
            </w:r>
          </w:p>
          <w:p>
            <w:pPr>
              <w:pStyle w:val="null3"/>
              <w:jc w:val="left"/>
            </w:pPr>
            <w:r>
              <w:rPr/>
              <w:t>采购包2：1名</w:t>
            </w:r>
          </w:p>
          <w:p>
            <w:pPr>
              <w:pStyle w:val="null3"/>
              <w:jc w:val="left"/>
            </w:pPr>
            <w:r>
              <w:rPr/>
              <w:t>采购包3：1名</w:t>
            </w:r>
          </w:p>
        </w:tc>
      </w:tr>
      <w:tr>
        <w:tc>
          <w:tcPr>
            <w:tcW w:type="dxa" w:w="2769"/>
          </w:tcPr>
          <w:p>
            <w:pPr>
              <w:pStyle w:val="null3"/>
              <w:jc w:val="left"/>
            </w:pPr>
            <w:r>
              <w:rPr/>
              <w:t>6</w:t>
            </w:r>
          </w:p>
        </w:tc>
        <w:tc>
          <w:tcPr>
            <w:tcW w:type="dxa" w:w="2769"/>
          </w:tcPr>
          <w:p>
            <w:pPr>
              <w:pStyle w:val="null3"/>
              <w:jc w:val="left"/>
            </w:pPr>
            <w:r>
              <w:rPr/>
              <w:t>12.2</w:t>
            </w:r>
          </w:p>
        </w:tc>
        <w:tc>
          <w:tcPr>
            <w:tcW w:type="dxa" w:w="2769"/>
          </w:tcPr>
          <w:p>
            <w:pPr>
              <w:pStyle w:val="null3"/>
              <w:jc w:val="left"/>
            </w:pPr>
            <w:r>
              <w:rPr/>
              <w:t>本项目中标人的确定（以采购包为单位）：</w:t>
            </w:r>
          </w:p>
          <w:p>
            <w:pPr>
              <w:pStyle w:val="null3"/>
              <w:jc w:val="left"/>
            </w:pPr>
            <w:r>
              <w:rPr/>
              <w:t xml:space="preserve">（1） </w:t>
            </w:r>
            <w:r>
              <w:rPr/>
              <w:t>采购人应在政府采购招投标管理办法规定的时限内确定中标人。</w:t>
            </w:r>
          </w:p>
          <w:p>
            <w:pPr>
              <w:pStyle w:val="null3"/>
              <w:jc w:val="left"/>
            </w:pPr>
            <w:r>
              <w:rPr/>
              <w:t>（2）若出现中标候选人并列情形，则按照下列方式确定中标人：</w:t>
            </w:r>
          </w:p>
          <w:p>
            <w:pPr>
              <w:pStyle w:val="null3"/>
              <w:jc w:val="left"/>
            </w:pPr>
            <w:r>
              <w:rPr/>
              <w:t>①招标文件规定的方式：</w:t>
            </w:r>
          </w:p>
          <w:p>
            <w:pPr>
              <w:pStyle w:val="null3"/>
              <w:jc w:val="left"/>
            </w:pPr>
            <w:r>
              <w:rPr/>
              <w:t>无</w:t>
            </w:r>
          </w:p>
          <w:p>
            <w:pPr>
              <w:pStyle w:val="null3"/>
              <w:jc w:val="left"/>
            </w:pPr>
            <w:r>
              <w:rPr/>
              <w:t>②若本款第①点规定方式为“无”，则按照下列方式确定：</w:t>
            </w:r>
          </w:p>
          <w:p>
            <w:pPr>
              <w:pStyle w:val="null3"/>
              <w:jc w:val="left"/>
            </w:pPr>
            <w:r>
              <w:rPr/>
              <w:t>无</w:t>
            </w:r>
          </w:p>
          <w:p>
            <w:pPr>
              <w:pStyle w:val="null3"/>
              <w:jc w:val="left"/>
            </w:pPr>
            <w:r>
              <w:rPr/>
              <w:t>③若本款第①、②点规定方式均为“无”，则按照下列方式确定：随机抽取。</w:t>
            </w:r>
          </w:p>
          <w:p>
            <w:pPr>
              <w:pStyle w:val="null3"/>
              <w:jc w:val="left"/>
            </w:pPr>
            <w:r>
              <w:rPr/>
              <w:t>（3）本项目确定的中标人家数：</w:t>
            </w:r>
          </w:p>
          <w:p>
            <w:pPr>
              <w:pStyle w:val="null3"/>
              <w:jc w:val="left"/>
            </w:pPr>
            <w:r>
              <w:rPr/>
              <w:t>采购包1：1名</w:t>
            </w:r>
          </w:p>
          <w:p>
            <w:pPr>
              <w:pStyle w:val="null3"/>
              <w:jc w:val="left"/>
            </w:pPr>
            <w:r>
              <w:rPr/>
              <w:t>采购包2：1名</w:t>
            </w:r>
          </w:p>
          <w:p>
            <w:pPr>
              <w:pStyle w:val="null3"/>
              <w:jc w:val="left"/>
            </w:pPr>
            <w:r>
              <w:rPr/>
              <w:t>采购包3：1名</w:t>
            </w:r>
          </w:p>
        </w:tc>
      </w:tr>
      <w:tr>
        <w:tc>
          <w:tcPr>
            <w:tcW w:type="dxa" w:w="2769"/>
          </w:tcPr>
          <w:p>
            <w:pPr>
              <w:pStyle w:val="null3"/>
              <w:jc w:val="left"/>
            </w:pPr>
            <w:r>
              <w:rPr/>
              <w:t>7</w:t>
            </w:r>
          </w:p>
        </w:tc>
        <w:tc>
          <w:tcPr>
            <w:tcW w:type="dxa" w:w="2769"/>
          </w:tcPr>
          <w:p>
            <w:pPr>
              <w:pStyle w:val="null3"/>
              <w:jc w:val="left"/>
            </w:pPr>
            <w:r>
              <w:rPr/>
              <w:t>13.2</w:t>
            </w:r>
          </w:p>
        </w:tc>
        <w:tc>
          <w:tcPr>
            <w:tcW w:type="dxa" w:w="2769"/>
          </w:tcPr>
          <w:p>
            <w:pPr>
              <w:pStyle w:val="null3"/>
              <w:jc w:val="left"/>
            </w:pPr>
            <w:r>
              <w:rPr/>
              <w:t xml:space="preserve">合同签订时限： </w:t>
            </w:r>
            <w:r>
              <w:rPr/>
              <w:t>自中标通知书发出之日起30个日历日内。</w:t>
            </w:r>
          </w:p>
        </w:tc>
      </w:tr>
      <w:tr>
        <w:tc>
          <w:tcPr>
            <w:tcW w:type="dxa" w:w="2769"/>
          </w:tcPr>
          <w:p>
            <w:pPr>
              <w:pStyle w:val="null3"/>
              <w:jc w:val="left"/>
            </w:pPr>
            <w:r>
              <w:rPr/>
              <w:t>8</w:t>
            </w:r>
          </w:p>
        </w:tc>
        <w:tc>
          <w:tcPr>
            <w:tcW w:type="dxa" w:w="2769"/>
          </w:tcPr>
          <w:p>
            <w:pPr>
              <w:pStyle w:val="null3"/>
              <w:jc w:val="left"/>
            </w:pPr>
            <w:r>
              <w:rPr/>
              <w:t>15.1-（2）</w:t>
            </w:r>
          </w:p>
        </w:tc>
        <w:tc>
          <w:tcPr>
            <w:tcW w:type="dxa" w:w="2769"/>
          </w:tcPr>
          <w:p>
            <w:pPr>
              <w:pStyle w:val="null3"/>
              <w:jc w:val="left"/>
            </w:pPr>
            <w:r>
              <w:rPr/>
              <w:t>质疑函原件应采用下列方式提交：书面形式。</w:t>
            </w:r>
          </w:p>
        </w:tc>
      </w:tr>
      <w:tr>
        <w:tc>
          <w:tcPr>
            <w:tcW w:type="dxa" w:w="2769"/>
          </w:tcPr>
          <w:p>
            <w:pPr>
              <w:pStyle w:val="null3"/>
              <w:jc w:val="left"/>
            </w:pPr>
            <w:r>
              <w:rPr/>
              <w:t>9</w:t>
            </w:r>
          </w:p>
        </w:tc>
        <w:tc>
          <w:tcPr>
            <w:tcW w:type="dxa" w:w="2769"/>
          </w:tcPr>
          <w:p>
            <w:pPr>
              <w:pStyle w:val="null3"/>
              <w:jc w:val="left"/>
            </w:pPr>
            <w:r>
              <w:rPr/>
              <w:t>15.4</w:t>
            </w:r>
          </w:p>
        </w:tc>
        <w:tc>
          <w:tcPr>
            <w:tcW w:type="dxa" w:w="2769"/>
          </w:tcPr>
          <w:p>
            <w:pPr>
              <w:pStyle w:val="null3"/>
              <w:jc w:val="left"/>
            </w:pPr>
            <w:r>
              <w:rPr/>
              <w:t>招标文件的质疑</w:t>
            </w:r>
          </w:p>
          <w:p>
            <w:pPr>
              <w:pStyle w:val="null3"/>
              <w:jc w:val="left"/>
            </w:pPr>
            <w:r>
              <w:rPr/>
              <w:t>（1）潜在投标人可在质疑时效期间内对招标文件以书面形式提出质疑。</w:t>
            </w:r>
          </w:p>
          <w:p>
            <w:pPr>
              <w:pStyle w:val="null3"/>
              <w:jc w:val="left"/>
            </w:pPr>
            <w:r>
              <w:rPr/>
              <w:t xml:space="preserve">（2）质疑时效期间：应在依法获取招标文件之日起7个工作日内向 </w:t>
            </w:r>
            <w:r>
              <w:rPr/>
              <w:t>中宏源建设管理有限公司</w:t>
            </w:r>
            <w:r>
              <w:rPr/>
              <w:t xml:space="preserve"> 提出，依法获取招标文件的时间以福建省政府采购网上公开信息系统记载的为准。</w:t>
            </w:r>
          </w:p>
          <w:p>
            <w:pPr>
              <w:pStyle w:val="null3"/>
              <w:jc w:val="left"/>
            </w:pPr>
            <w:r>
              <w:rPr/>
              <w:t>※除上述规定外，对招标文件提出的质疑还应符合招标文件第三章第15.1条的有关规定。</w:t>
            </w:r>
          </w:p>
        </w:tc>
      </w:tr>
      <w:tr>
        <w:tc>
          <w:tcPr>
            <w:tcW w:type="dxa" w:w="2769"/>
          </w:tcPr>
          <w:p>
            <w:pPr>
              <w:pStyle w:val="null3"/>
              <w:jc w:val="left"/>
            </w:pPr>
            <w:r>
              <w:rPr/>
              <w:t>10</w:t>
            </w:r>
          </w:p>
        </w:tc>
        <w:tc>
          <w:tcPr>
            <w:tcW w:type="dxa" w:w="2769"/>
          </w:tcPr>
          <w:p>
            <w:pPr>
              <w:pStyle w:val="null3"/>
              <w:jc w:val="left"/>
            </w:pPr>
            <w:r>
              <w:rPr/>
              <w:t>16.1</w:t>
            </w:r>
          </w:p>
        </w:tc>
        <w:tc>
          <w:tcPr>
            <w:tcW w:type="dxa" w:w="2769"/>
          </w:tcPr>
          <w:p>
            <w:pPr>
              <w:pStyle w:val="null3"/>
              <w:jc w:val="left"/>
            </w:pPr>
            <w:r>
              <w:rPr/>
              <w:t xml:space="preserve">监督管理部门： </w:t>
            </w:r>
            <w:r>
              <w:rPr/>
              <w:t>福建省财政厅政府采购监督管理办公室</w:t>
            </w:r>
            <w:r>
              <w:rPr/>
              <w:t xml:space="preserve"> （仅限依法进行政府采购的货物或服务类项目）。</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财政部和福建省财政厅指定的政府采购信息发布媒体（以下简称：“指定媒体”）：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※若出现上述指定媒体信息不一致情形，应以中国政府采购网福建分网（福建省政府采购网）发布的为准。</w:t>
            </w:r>
          </w:p>
        </w:tc>
      </w:tr>
      <w:tr>
        <w:tc>
          <w:tcPr>
            <w:tcW w:type="dxa" w:w="2769"/>
          </w:tcPr>
          <w:p>
            <w:pPr>
              <w:pStyle w:val="null3"/>
              <w:jc w:val="left"/>
            </w:pPr>
            <w:r>
              <w:rPr/>
              <w:t>12</w:t>
            </w:r>
          </w:p>
        </w:tc>
        <w:tc>
          <w:tcPr>
            <w:tcW w:type="dxa" w:w="2769"/>
          </w:tcPr>
          <w:p>
            <w:pPr>
              <w:pStyle w:val="null3"/>
              <w:jc w:val="left"/>
            </w:pPr>
            <w:r>
              <w:rPr/>
              <w:t>19</w:t>
            </w:r>
          </w:p>
        </w:tc>
        <w:tc>
          <w:tcPr>
            <w:tcW w:type="dxa" w:w="2769"/>
          </w:tcPr>
          <w:p>
            <w:pPr>
              <w:pStyle w:val="null3"/>
              <w:jc w:val="left"/>
            </w:pPr>
            <w:r>
              <w:rPr/>
              <w:t>其他事项：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代理服务费收费标准：本项目代理服务费按照采购包单独计算，向中标人收取，以成交金额为基准按差额定率累进法计算，向采购代理机构交纳采购代理服务费。 ①采购代理服务收费的标准：招标代理服务费 (采购代理服务费) 参照计价格(2002)1980号文规定收费标准，采购项目中标(成交) 金额 100万元以下的下浮20%，采购项目中标 (成交) 金额 100 万元(含)以上的下浮 50%，最低按 2000 元执行。代理服务费缴交银行帐号：开户银行：中国银行股份有限公司福州市晋安支行帐户名称：中宏源建设管理有限公司帐 号：415679730608</w:t>
            </w:r>
          </w:p>
          <w:p>
            <w:pPr>
              <w:pStyle w:val="null3"/>
              <w:jc w:val="left"/>
            </w:pPr>
            <w:r>
              <w:rPr/>
              <w:t xml:space="preserve"> (2)其他：</w:t>
            </w:r>
          </w:p>
          <w:p>
            <w:pPr>
              <w:pStyle w:val="null3"/>
              <w:jc w:val="left"/>
            </w:pPr>
            <w:r>
              <w:rPr/>
              <w:t>A、投标人必须对其投标文件中提供各种资料、说明的真实性负责。在评标过程中，如有发现投标人有为谋取中标而提供虚假资料欺骗采购人和评标委员会的行为，将取消其中标资格，其投标保证金将不予退还。若在中标后和执行合同过程中发现其提供虚假资料的将取消其中标资格，给采购人造成损失的，还必须进行赔偿并负相关责任。评标过程中无论是否有对原件进行核实，投标人都必须对其提供各种资料、说明的真实性负责。B、投标人须保障采购人在使用该货物或其任何一部分时不受到第三方关于侵犯专利权、商标权或工业设计权等知识产权的指控。如果任何第三方提出侵权指控与采购人无关，投标人须与第三方交涉并承担可能发生的责任与一切费用。如采购人因此而遭致损失的，投标人应赔偿该损失。 C、投标人出现 《福建省财政厅关于电子化政府采购项目中视为串标情形认定与处理的指导意见》（闽财购〔2018〕30号）文中规定的视为串标情形的，其投标无效。D、投标人应以包括本项目所涉及的所有费用进行报价，请潜在投标人酌情报价。</w:t>
            </w:r>
          </w:p>
        </w:tc>
      </w:tr>
      <w:tr>
        <w:tc>
          <w:tcPr>
            <w:tcW w:type="dxa" w:w="5538"/>
            <w:gridSpan w:val="2"/>
          </w:tcPr>
          <w:p>
            <w:pPr>
              <w:pStyle w:val="null3"/>
              <w:jc w:val="left"/>
            </w:pPr>
            <w:r>
              <w:rPr/>
              <w:t>备注</w:t>
            </w:r>
          </w:p>
        </w:tc>
        <w:tc>
          <w:tcPr>
            <w:tcW w:type="dxa" w:w="2769"/>
          </w:tcPr>
          <w:p>
            <w:pPr>
              <w:pStyle w:val="null3"/>
              <w:jc w:val="left"/>
            </w:pPr>
            <w:r>
              <w:rPr/>
              <w:t>后有投标人须知前附表2，请勿遗漏。</w:t>
            </w:r>
          </w:p>
        </w:tc>
      </w:tr>
    </w:tbl>
    <w:p>
      <w:pPr>
        <w:pStyle w:val="null3"/>
        <w:jc w:val="both"/>
        <w:outlineLvl w:val="2"/>
      </w:pPr>
      <w:r>
        <w:rPr>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关于电子招标投标活动的专门规定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（1）电子招标投标活动的专门规定适用本项目电子招标投标活动。</w:t>
            </w:r>
          </w:p>
          <w:p>
            <w:pPr>
              <w:pStyle w:val="null3"/>
              <w:jc w:val="left"/>
            </w:pPr>
            <w:r>
              <w:rPr/>
              <w:t>（2）将招标文件</w:t>
            </w:r>
          </w:p>
          <w:p>
            <w:pPr>
              <w:pStyle w:val="null3"/>
              <w:jc w:val="left"/>
            </w:pPr>
            <w:r>
              <w:rPr/>
              <w:t>无</w:t>
            </w:r>
            <w:r>
              <w:rPr/>
              <w:t xml:space="preserve"> 的内容修正为下列内容：</w:t>
            </w:r>
          </w:p>
          <w:p>
            <w:pPr>
              <w:pStyle w:val="null3"/>
              <w:jc w:val="left"/>
            </w:pPr>
            <w:r>
              <w:rPr/>
              <w:t>无</w:t>
            </w:r>
            <w:r>
              <w:rPr/>
              <w:t xml:space="preserve"> 后适用本项目的电子招标投标活动。</w:t>
            </w:r>
          </w:p>
          <w:p>
            <w:pPr>
              <w:pStyle w:val="null3"/>
              <w:jc w:val="left"/>
            </w:pPr>
            <w:r>
              <w:rPr/>
              <w:t>（3）将下列内容增列为招标文件的组成部分（以下简称：“增列内容”）适用本项目的电子招标投标活动，若增列内容与招标文件其他章节内容有冲突，应以增列内容为准：</w:t>
            </w:r>
          </w:p>
          <w:p>
            <w:pPr>
              <w:pStyle w:val="null3"/>
              <w:jc w:val="left"/>
            </w:pPr>
            <w:r>
              <w:rPr/>
              <w:t>①电子招标投标活动的具体操作流程以福建省政府采购网上公开信息系统设定的为准。</w:t>
            </w:r>
          </w:p>
          <w:p>
            <w:pPr>
              <w:pStyle w:val="null3"/>
              <w:jc w:val="left"/>
            </w:pPr>
            <w:r>
              <w:rPr/>
              <w:t>②关于电子投标文件：</w:t>
            </w:r>
          </w:p>
          <w:p>
            <w:pPr>
              <w:pStyle w:val="null3"/>
              <w:jc w:val="left"/>
            </w:pPr>
            <w:r>
              <w:rPr/>
              <w:t>a.投标人应按照福建省政府采购网上公开信息系统设定的评审节点编制电子投标文件，否则资格审查小组、评标委员会将按照不利于投标人的内容进行认定。</w:t>
            </w:r>
          </w:p>
          <w:p>
            <w:pPr>
              <w:pStyle w:val="null3"/>
              <w:jc w:val="left"/>
            </w:pPr>
            <w:r>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t>③关于证明材料或资料：</w:t>
            </w:r>
          </w:p>
          <w:p>
            <w:pPr>
              <w:pStyle w:val="null3"/>
              <w:jc w:val="left"/>
            </w:pPr>
            <w:r>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t>④关于“全称”、“投标人代表签字”及“加盖单位公章”：</w:t>
            </w:r>
          </w:p>
          <w:p>
            <w:pPr>
              <w:pStyle w:val="null3"/>
              <w:jc w:val="left"/>
            </w:pPr>
            <w:r>
              <w:rPr/>
              <w:t>a.在电子投标文件中，涉及“全称”和“投标人代表签字”的内容可使用打字录入方式完成。</w:t>
            </w:r>
          </w:p>
          <w:p>
            <w:pPr>
              <w:pStyle w:val="null3"/>
              <w:jc w:val="left"/>
            </w:pPr>
            <w:r>
              <w:rPr/>
              <w:t>b.在电子投标文件中，涉及“加盖单位公章”的内容应使用投标人的CA证书完成，否则投标无效。</w:t>
            </w:r>
          </w:p>
          <w:p>
            <w:pPr>
              <w:pStyle w:val="null3"/>
              <w:jc w:val="left"/>
            </w:pPr>
            <w:r>
              <w:rPr/>
              <w:t>c.在电子投标文件中，若投标人按照本增列内容第④点第b项规定加盖其单位公章，则出现无全称、或投标人代表未签字等情形，不视为投标无效。</w:t>
            </w:r>
          </w:p>
          <w:p>
            <w:pPr>
              <w:pStyle w:val="null3"/>
              <w:jc w:val="left"/>
            </w:pPr>
            <w:r>
              <w:rPr/>
              <w:t>⑤关于投标人的CA证书：</w:t>
            </w:r>
          </w:p>
          <w:p>
            <w:pPr>
              <w:pStyle w:val="null3"/>
              <w:jc w:val="left"/>
            </w:pPr>
            <w:r>
              <w:rPr/>
              <w:t>a.投标人的CA证书应在系统规定时间内使用CA证书进行电子投标文件的解密操作，逾期未解密的视为放弃投标。</w:t>
            </w:r>
          </w:p>
          <w:p>
            <w:pPr>
              <w:pStyle w:val="null3"/>
              <w:jc w:val="left"/>
            </w:pPr>
            <w:r>
              <w:rPr/>
              <w:t>b.投标人的CA证书可采用信封（包括但不限于：信封、档案袋、文件袋等）作为外包装进行单独包装。外包装密封、不密封皆可。</w:t>
            </w:r>
          </w:p>
          <w:p>
            <w:pPr>
              <w:pStyle w:val="null3"/>
              <w:jc w:val="left"/>
            </w:pPr>
            <w:r>
              <w:rPr/>
              <w:t>c.投标人的CA证书或外包装应标记“项目名称、项目编号、投标人的全称”等内容，以方便识别、使用。</w:t>
            </w:r>
          </w:p>
          <w:p>
            <w:pPr>
              <w:pStyle w:val="null3"/>
              <w:jc w:val="left"/>
            </w:pPr>
            <w:r>
              <w:rPr/>
              <w:t>d.投标人的CA证书应能正常、有效使用，否则产生不利后果由投标人承担责任。</w:t>
            </w:r>
          </w:p>
          <w:p>
            <w:pPr>
              <w:pStyle w:val="null3"/>
              <w:jc w:val="left"/>
            </w:pPr>
            <w:r>
              <w:rPr/>
              <w:t>⑥关于投标截止时间过后</w:t>
            </w:r>
          </w:p>
          <w:p>
            <w:pPr>
              <w:pStyle w:val="null3"/>
              <w:jc w:val="left"/>
            </w:pPr>
            <w:r>
              <w:rPr/>
              <w:t>a.未按招标文件规定提交投标保证金的，其投标将按无效投标处理。</w:t>
            </w:r>
          </w:p>
          <w:p>
            <w:pPr>
              <w:pStyle w:val="null3"/>
              <w:jc w:val="left"/>
            </w:pPr>
            <w:r>
              <w:rPr/>
              <w:t>b.有下列情形之一的，其投标无效,其保证金不予退还或通过投标保函进行索赔：</w:t>
            </w:r>
          </w:p>
          <w:p>
            <w:pPr>
              <w:pStyle w:val="null3"/>
              <w:jc w:val="left"/>
            </w:pPr>
            <w:r>
              <w:rPr/>
              <w:t>b1不同投标人的电子投标文件具有相同内部识别码；</w:t>
            </w:r>
          </w:p>
          <w:p>
            <w:pPr>
              <w:pStyle w:val="null3"/>
              <w:jc w:val="left"/>
            </w:pPr>
            <w:r>
              <w:rPr/>
              <w:t>b2不同投标人的投标保证金从同一单位或个人的账户转出；</w:t>
            </w:r>
          </w:p>
          <w:p>
            <w:pPr>
              <w:pStyle w:val="null3"/>
              <w:jc w:val="left"/>
            </w:pPr>
            <w:r>
              <w:rPr/>
              <w:t>b3投标人的投标保证金同一采购包下有其他投标人提交的投标保证金；</w:t>
            </w:r>
          </w:p>
          <w:p>
            <w:pPr>
              <w:pStyle w:val="null3"/>
              <w:jc w:val="left"/>
            </w:pPr>
            <w:r>
              <w:rPr/>
              <w:t>b4不同投标人存在串通投标的其他情形。</w:t>
            </w:r>
          </w:p>
          <w:p>
            <w:pPr>
              <w:pStyle w:val="null3"/>
              <w:jc w:val="left"/>
            </w:pPr>
            <w:r>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t>⑧其他：</w:t>
            </w:r>
          </w:p>
          <w:p>
            <w:pPr>
              <w:pStyle w:val="null3"/>
              <w:jc w:val="left"/>
            </w:pPr>
            <w:r>
              <w:rPr/>
              <w:t>无</w:t>
            </w:r>
          </w:p>
        </w:tc>
      </w:tr>
    </w:tbl>
    <w:p>
      <w:pPr>
        <w:pStyle w:val="null3"/>
      </w:pPr>
      <w:r>
        <w:rPr/>
        <w:t xml:space="preserve"> </w:t>
        <w:br/>
        <w:br w:type="page"/>
      </w:r>
    </w:p>
    <w:p>
      <w:pPr>
        <w:pStyle w:val="null3"/>
        <w:jc w:val="center"/>
        <w:outlineLvl w:val="1"/>
      </w:pPr>
      <w:r>
        <w:rPr>
          <w:sz w:val="36"/>
          <w:b/>
        </w:rPr>
        <w:t>第三章 投标人须知</w:t>
      </w:r>
    </w:p>
    <w:p>
      <w:pPr>
        <w:pStyle w:val="null3"/>
        <w:ind w:firstLine="480"/>
        <w:jc w:val="both"/>
        <w:outlineLvl w:val="2"/>
      </w:pPr>
      <w:r>
        <w:rPr>
          <w:sz w:val="28"/>
          <w:b/>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sz w:val="28"/>
          <w:b/>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sz w:val="28"/>
          <w:b/>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中宏源建设管理有限公司</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中宏源建设管理有限公司</w:t>
      </w:r>
      <w:r>
        <w:rPr/>
        <w:t xml:space="preserve"> 将在投标截止时间至少15个日历日前，在招标文件载明的指定媒体以更正公告的形式发布澄清或修改的内容。不足15个日历日的， </w:t>
      </w:r>
      <w:r>
        <w:rPr/>
        <w:t>中宏源建设管理有限公司</w:t>
      </w:r>
      <w:r>
        <w:rPr/>
        <w:t xml:space="preserve"> 将顺延投标截止时间及开标时间， </w:t>
      </w:r>
      <w:r>
        <w:rPr/>
        <w:t>中宏源建设管理有限公司</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中宏源建设管理有限公司</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中宏源建设管理有限公司</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中宏源建设管理有限公司</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中宏源建设管理有限公司</w:t>
      </w:r>
      <w:r>
        <w:rPr/>
        <w:t xml:space="preserve"> 可终止招标并发布终止公告。</w:t>
      </w:r>
    </w:p>
    <w:p>
      <w:pPr>
        <w:pStyle w:val="null3"/>
        <w:ind w:firstLine="480"/>
        <w:jc w:val="both"/>
      </w:pPr>
      <w:r>
        <w:rPr/>
        <w:t xml:space="preserve">8.2终止公告作为 </w:t>
      </w:r>
      <w:r>
        <w:rPr/>
        <w:t>中宏源建设管理有限公司</w:t>
      </w:r>
      <w:r>
        <w:rPr/>
        <w:t xml:space="preserve"> 通知所有潜在投标人的书面形式。</w:t>
      </w:r>
    </w:p>
    <w:p>
      <w:pPr>
        <w:pStyle w:val="null3"/>
        <w:ind w:firstLine="480"/>
        <w:jc w:val="both"/>
        <w:outlineLvl w:val="2"/>
      </w:pPr>
      <w:r>
        <w:rPr>
          <w:sz w:val="28"/>
          <w:b/>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①开标（报价）一览表</w:t>
      </w:r>
    </w:p>
    <w:p>
      <w:pPr>
        <w:pStyle w:val="null3"/>
        <w:ind w:firstLine="480"/>
        <w:jc w:val="both"/>
      </w:pPr>
      <w:r>
        <w:rPr/>
        <w:t>②投标（响应）报价明细表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中宏源建设管理有限公司</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中宏源建设管理有限公司</w:t>
      </w:r>
      <w:r>
        <w:rPr/>
        <w:t xml:space="preserve"> 可于投标有效期届满之前书面要求投标人延长投标有效期，投标人应在 </w:t>
      </w:r>
      <w:r>
        <w:rPr/>
        <w:t>中宏源建设管理有限公司</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无</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中宏源建设管理有限公司</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中宏源建设管理有限公司</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中宏源建设管理有限公司</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sz w:val="28"/>
          <w:b/>
        </w:rPr>
        <w:t>五、开标</w:t>
      </w:r>
    </w:p>
    <w:p>
      <w:pPr>
        <w:pStyle w:val="null3"/>
        <w:ind w:firstLine="480"/>
        <w:jc w:val="both"/>
      </w:pPr>
      <w:r>
        <w:rPr/>
        <w:t>11、开标</w:t>
      </w:r>
    </w:p>
    <w:p>
      <w:pPr>
        <w:pStyle w:val="null3"/>
        <w:ind w:firstLine="480"/>
        <w:jc w:val="both"/>
      </w:pPr>
      <w:r>
        <w:rPr/>
        <w:t xml:space="preserve">11.1 </w:t>
      </w:r>
      <w:r>
        <w:rPr/>
        <w:t>中宏源建设管理有限公司</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中宏源建设管理有限公司</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中宏源建设管理有限公司</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中宏源建设管理有限公司</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sz w:val="28"/>
          <w:b/>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中宏源建设管理有限公司</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中宏源建设管理有限公司</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sz w:val="28"/>
          <w:b/>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中宏源建设管理有限公司</w:t>
      </w:r>
      <w:r>
        <w:rPr/>
        <w:t xml:space="preserve"> 提出询问， </w:t>
      </w:r>
      <w:r>
        <w:rPr/>
        <w:t>中宏源建设管理有限公司</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中宏源建设管理有限公司</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sz w:val="28"/>
          <w:b/>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sz w:val="28"/>
          <w:b/>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sz w:val="28"/>
          <w:b/>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r>
        <w:rPr/>
        <w:t xml:space="preserve"> </w:t>
        <w:br/>
        <w:br w:type="page"/>
      </w:r>
    </w:p>
    <w:p>
      <w:pPr>
        <w:pStyle w:val="null3"/>
        <w:jc w:val="center"/>
        <w:outlineLvl w:val="1"/>
      </w:pPr>
      <w:r>
        <w:rPr>
          <w:sz w:val="36"/>
          <w:b/>
        </w:rPr>
        <w:t>第四章 资格审查与评标</w:t>
      </w:r>
    </w:p>
    <w:p>
      <w:pPr>
        <w:pStyle w:val="null3"/>
        <w:jc w:val="both"/>
        <w:outlineLvl w:val="2"/>
      </w:pPr>
      <w:r>
        <w:rPr>
          <w:sz w:val="28"/>
          <w:b/>
        </w:rPr>
        <w:t>一、资格审查</w:t>
      </w:r>
    </w:p>
    <w:p>
      <w:pPr>
        <w:pStyle w:val="null3"/>
        <w:ind w:firstLine="480"/>
        <w:jc w:val="both"/>
      </w:pPr>
      <w:r>
        <w:rPr/>
        <w:t xml:space="preserve">1、开标结束后，由 </w:t>
      </w:r>
      <w:r>
        <w:rPr/>
        <w:t>中宏源建设管理有限公司</w:t>
      </w:r>
      <w:r>
        <w:rPr/>
        <w:t xml:space="preserve"> 负责资格审查小组的组建及资格审查工作的组织。</w:t>
      </w:r>
    </w:p>
    <w:p>
      <w:pPr>
        <w:pStyle w:val="null3"/>
        <w:ind w:firstLine="480"/>
        <w:jc w:val="both"/>
      </w:pPr>
      <w:r>
        <w:rPr/>
        <w:t>1.1资格审查小组</w:t>
      </w:r>
    </w:p>
    <w:p>
      <w:pPr>
        <w:pStyle w:val="null3"/>
        <w:ind w:firstLine="480"/>
        <w:jc w:val="both"/>
      </w:pPr>
      <w:r>
        <w:rPr/>
        <w:t>资格审查小组由3人组成，并负责具体审查事务，</w:t>
      </w:r>
      <w:r>
        <w:rPr/>
        <w:t>其中由采购人派出的采购人代表至少1人，</w:t>
      </w:r>
      <w:r>
        <w:rPr/>
        <w:t>由中宏源建设管理有限公司派出的工作人员至少1人，</w:t>
      </w:r>
      <w:r>
        <w:rPr/>
        <w:t>其余1人可为采购人代表或中宏源建设管理有限公司的工作人员。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jc w:val="both"/>
      </w:pPr>
      <w:r>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jc w:val="both"/>
      </w:pPr>
      <w:r>
        <w:rPr/>
        <w:t>采购包3：</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left"/>
      </w:pPr>
      <w:r>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t>④.其他资格证明文件：</w:t>
      </w: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资格承诺函</w:t>
            </w:r>
          </w:p>
        </w:tc>
        <w:tc>
          <w:tcPr>
            <w:tcW w:type="dxa" w:w="4614"/>
          </w:tcPr>
          <w:p>
            <w:pPr>
              <w:pStyle w:val="null3"/>
              <w:jc w:val="left"/>
            </w:pPr>
            <w:r>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本采购包为专门面向中小企业采购，投标人须提供中小企业声明函。监狱企业、残疾人福利性单位视同小型、微型企业。</w:t>
            </w:r>
          </w:p>
        </w:tc>
      </w:tr>
    </w:tbl>
    <w:p>
      <w:pPr>
        <w:pStyle w:val="null3"/>
        <w:jc w:val="left"/>
      </w:pPr>
      <w:r>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资格承诺函</w:t>
            </w:r>
          </w:p>
        </w:tc>
        <w:tc>
          <w:tcPr>
            <w:tcW w:type="dxa" w:w="4614"/>
          </w:tcPr>
          <w:p>
            <w:pPr>
              <w:pStyle w:val="null3"/>
              <w:jc w:val="left"/>
            </w:pPr>
            <w:r>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本采购包为专门面向中小企业采购，投标人须提供中小企业声明函。监狱企业、残疾人福利性单位视同小型、微型企业。</w:t>
            </w:r>
          </w:p>
        </w:tc>
      </w:tr>
    </w:tbl>
    <w:p>
      <w:pPr>
        <w:pStyle w:val="null3"/>
        <w:jc w:val="left"/>
      </w:pPr>
      <w:r>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资格承诺函</w:t>
            </w:r>
          </w:p>
        </w:tc>
        <w:tc>
          <w:tcPr>
            <w:tcW w:type="dxa" w:w="4614"/>
          </w:tcPr>
          <w:p>
            <w:pPr>
              <w:pStyle w:val="null3"/>
              <w:jc w:val="left"/>
            </w:pPr>
            <w:r>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本采购包为专门面向中小企业采购，投标人须提供中小企业声明函。监狱企业、残疾人福利性单位视同小型、微型企业。</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 xml:space="preserve"> 明细</w:t>
            </w:r>
          </w:p>
        </w:tc>
      </w:tr>
      <w:tr>
        <w:tc>
          <w:tcPr>
            <w:tcW w:type="dxa" w:w="8306"/>
          </w:tcPr>
          <w:p>
            <w:pPr>
              <w:pStyle w:val="null3"/>
              <w:jc w:val="left"/>
            </w:pPr>
            <w:r>
              <w:rPr/>
              <w:t>未按照招标文件规定提交投标函</w:t>
            </w:r>
          </w:p>
        </w:tc>
      </w:tr>
      <w:tr>
        <w:tc>
          <w:tcPr>
            <w:tcW w:type="dxa" w:w="8306"/>
          </w:tcPr>
          <w:p>
            <w:pPr>
              <w:pStyle w:val="null3"/>
              <w:jc w:val="left"/>
            </w:pPr>
            <w:r>
              <w:rPr/>
              <w:t>未按照招标文件规定提交投标人的资格及资信文件</w:t>
            </w:r>
          </w:p>
        </w:tc>
      </w:tr>
      <w:tr>
        <w:tc>
          <w:tcPr>
            <w:tcW w:type="dxa" w:w="8306"/>
          </w:tcPr>
          <w:p>
            <w:pPr>
              <w:pStyle w:val="null3"/>
              <w:jc w:val="left"/>
            </w:pPr>
            <w:r>
              <w:rPr/>
              <w:t>未按照招标文件规定提交投标保证金</w:t>
            </w:r>
          </w:p>
        </w:tc>
      </w:tr>
    </w:tbl>
    <w:p>
      <w:pPr>
        <w:pStyle w:val="null3"/>
        <w:ind w:firstLine="480"/>
        <w:jc w:val="left"/>
      </w:pPr>
      <w:r>
        <w:rPr/>
        <w:t>采购包1：</w:t>
      </w:r>
    </w:p>
    <w:p>
      <w:pPr>
        <w:pStyle w:val="null3"/>
        <w:jc w:val="left"/>
      </w:pPr>
      <w:r>
        <w:rPr/>
        <w:t>资格审查不合格项：无</w:t>
      </w:r>
    </w:p>
    <w:p>
      <w:pPr>
        <w:pStyle w:val="null3"/>
        <w:jc w:val="left"/>
      </w:pPr>
      <w:r>
        <w:rPr/>
        <w:t>采购包2：</w:t>
      </w:r>
    </w:p>
    <w:p>
      <w:pPr>
        <w:pStyle w:val="null3"/>
        <w:jc w:val="left"/>
      </w:pPr>
      <w:r>
        <w:rPr/>
        <w:t>资格审查不合格项：无</w:t>
      </w:r>
    </w:p>
    <w:p>
      <w:pPr>
        <w:pStyle w:val="null3"/>
        <w:jc w:val="left"/>
      </w:pPr>
      <w:r>
        <w:rPr/>
        <w:t>采购包3：</w:t>
      </w:r>
    </w:p>
    <w:p>
      <w:pPr>
        <w:pStyle w:val="null3"/>
        <w:jc w:val="left"/>
      </w:pPr>
      <w:r>
        <w:rPr/>
        <w:t>资格审查不合格项：无</w:t>
      </w:r>
    </w:p>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中宏源建设管理有限公司</w:t>
      </w:r>
      <w:r>
        <w:rPr/>
        <w:t xml:space="preserve"> 统一对外发布。</w:t>
      </w:r>
    </w:p>
    <w:p>
      <w:pPr>
        <w:pStyle w:val="null3"/>
        <w:ind w:firstLine="480"/>
        <w:jc w:val="both"/>
      </w:pPr>
      <w:r>
        <w:rPr/>
        <w:t xml:space="preserve">3、资格审查合格的投标人不足三家的，不进行评标。同时，本次采购活动结束， </w:t>
      </w:r>
      <w:r>
        <w:rPr/>
        <w:t>中宏源建设管理有限公司</w:t>
      </w:r>
      <w:r>
        <w:rPr/>
        <w:t xml:space="preserve"> 将依法组织后续采购活动（包括但不限于：重新招标、采用其他方式采购等）。</w:t>
      </w:r>
    </w:p>
    <w:p>
      <w:pPr>
        <w:pStyle w:val="null3"/>
        <w:jc w:val="both"/>
        <w:outlineLvl w:val="2"/>
      </w:pPr>
      <w:r>
        <w:rPr>
          <w:sz w:val="28"/>
          <w:b/>
        </w:rPr>
        <w:t>二、评标</w:t>
      </w:r>
    </w:p>
    <w:p>
      <w:pPr>
        <w:pStyle w:val="null3"/>
        <w:ind w:firstLine="480"/>
        <w:jc w:val="both"/>
      </w:pPr>
      <w:r>
        <w:rPr/>
        <w:t xml:space="preserve">4、资格审查结束后，由 </w:t>
      </w:r>
      <w:r>
        <w:rPr/>
        <w:t>中宏源建设管理有限公司</w:t>
      </w:r>
      <w:r>
        <w:rPr/>
        <w:t xml:space="preserve"> 负责评标委员会的组建及评标工作的组织。</w:t>
      </w:r>
    </w:p>
    <w:p>
      <w:pPr>
        <w:pStyle w:val="null3"/>
        <w:ind w:firstLine="480"/>
        <w:jc w:val="both"/>
      </w:pPr>
      <w:r>
        <w:rPr/>
        <w:t>5、评标委员会</w:t>
      </w:r>
    </w:p>
    <w:p>
      <w:pPr>
        <w:pStyle w:val="null3"/>
        <w:ind w:firstLine="480"/>
        <w:jc w:val="both"/>
      </w:pPr>
      <w:r>
        <w:rPr/>
        <w:t>由采购人代表和评审专家两部分共5人组成，</w:t>
      </w:r>
      <w:r>
        <w:rPr/>
        <w:t>其中由福建省政府采购评审专家库产生的评审专家4人，</w:t>
      </w:r>
      <w:r>
        <w:rPr/>
        <w:t>由采购人派出的采购人代表1人。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中宏源建设管理有限公司</w:t>
      </w:r>
      <w:r>
        <w:rPr/>
        <w:t xml:space="preserve"> 统一对外发布。</w:t>
      </w:r>
    </w:p>
    <w:p>
      <w:pPr>
        <w:pStyle w:val="null3"/>
        <w:ind w:firstLine="480"/>
        <w:jc w:val="both"/>
      </w:pPr>
      <w:r>
        <w:rPr/>
        <w:t xml:space="preserve">②对 </w:t>
      </w:r>
      <w:r>
        <w:rPr/>
        <w:t>中宏源建设管理有限公司</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jc w:val="left"/>
      </w:pPr>
      <w:r>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jc w:val="left"/>
      </w:pPr>
      <w:r>
        <w:rPr/>
        <w:t>采购包3：</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ind w:firstLine="480"/>
        <w:jc w:val="both"/>
      </w:pPr>
      <w:r>
        <w:rPr/>
        <w:t>②本项目规定的其他情形：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（1）招标文件 第五章 招标内容及要求中“ 二、技术和服务要求（以“★”标示的内容为不允许负偏离的实质性要求）”若出现负偏离，按无效投标处理； （2）出现评标标准中规定的投标无效的情形； （3）出现招标文件中载明“投标无效”条款的规定； （4）技术部分中不得出现报价部分的全部或部分的投标报价信息（或组成资料），否则按无效投标处理；（5）未按招标文件 第五章 招标内容及要求中“ 二、技术和服务要求”提供专项承诺函，按无效投标处理。</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（1）出现招标文件中载明“投标无效”条款的规定； （2）商务部分中不得出现报价部分的全部或部分的投标报价信息（或组成资料），否则按无效投标处理； （3）招标文件 第五章 招标内容及要求中“三、商务条件（以“★”标示的内容为不允许负偏离的实质性要求）”，其全部条款内容均为“以“★”标示的内容”，即“均为不允许负偏离的实质性要求”。</w:t>
            </w:r>
          </w:p>
        </w:tc>
      </w:tr>
    </w:tbl>
    <w:p>
      <w:pPr>
        <w:pStyle w:val="null3"/>
        <w:jc w:val="left"/>
      </w:pPr>
      <w:r>
        <w:rPr/>
        <w:t>附加符合性：无</w:t>
      </w:r>
    </w:p>
    <w:p>
      <w:pPr>
        <w:pStyle w:val="null3"/>
        <w:jc w:val="left"/>
      </w:pPr>
      <w:r>
        <w:rPr/>
        <w:t>价格符合性：无</w:t>
      </w:r>
    </w:p>
    <w:p>
      <w:pPr>
        <w:pStyle w:val="null3"/>
        <w:jc w:val="left"/>
      </w:pPr>
      <w:r>
        <w:rPr/>
        <w:t>采购包2：</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（1）招标文件 第五章 招标内容及要求中“ 二、技术和服务要求（以“★”标示的内容为不允许负偏离的实质性要求）”若出现负偏离，按无效投标处理； （2）出现评标标准中规定的投标无效的情形； （3）出现招标文件中载明“投标无效”条款的规定； （4）技术部分中不得出现报价部分的全部或部分的投标报价信息（或组成资料），否则按无效投标处理；（5）未按招标文件 第五章 招标内容及要求中“ 二、技术和服务要求”提供专项承诺函，按无效投标处理。</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（1）出现招标文件中载明“投标无效”条款的规定； （2）商务部分中不得出现报价部分的全部或部分的投标报价信息（或组成资料），否则按无效投标处理； （3）招标文件 第五章 招标内容及要求中“三、商务条件（以“★”标示的内容为不允许负偏离的实质性要求）”，其全部条款内容均为“以“★”标示的内容”，即“均为不允许负偏离的实质性要求”。</w:t>
            </w:r>
          </w:p>
        </w:tc>
      </w:tr>
    </w:tbl>
    <w:p>
      <w:pPr>
        <w:pStyle w:val="null3"/>
        <w:jc w:val="left"/>
      </w:pPr>
      <w:r>
        <w:rPr/>
        <w:t>附加符合性：无</w:t>
      </w:r>
    </w:p>
    <w:p>
      <w:pPr>
        <w:pStyle w:val="null3"/>
        <w:jc w:val="left"/>
      </w:pPr>
      <w:r>
        <w:rPr/>
        <w:t>价格符合性：无</w:t>
      </w:r>
    </w:p>
    <w:p>
      <w:pPr>
        <w:pStyle w:val="null3"/>
        <w:jc w:val="left"/>
      </w:pPr>
      <w:r>
        <w:rPr/>
        <w:t>采购包3：</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（1）招标文件 第五章 招标内容及要求中“ 二、技术和服务要求（以“★”标示的内容为不允许负偏离的实质性要求）”若出现负偏离，按无效投标处理； （2）出现评标标准中规定的投标无效的情形； （3）出现招标文件中载明“投标无效”条款的规定； （4）技术部分中不得出现报价部分的全部或部分的投标报价信息（或组成资料），否则按无效投标处理；（5）未按招标文件 第五章 招标内容及要求中“ 二、技术和服务要求”提供专项承诺函，按无效投标处理。</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（1）出现招标文件中载明“投标无效”条款的规定； （2）商务部分中不得出现报价部分的全部或部分的投标报价信息（或组成资料），否则按无效投标处理； （3）招标文件 第五章 招标内容及要求中“三、商务条件（以“★”标示的内容为不允许负偏离的实质性要求）”，其全部条款内容均为“以“★”标示的内容”，即“均为不允许负偏离的实质性要求”。</w:t>
            </w:r>
          </w:p>
        </w:tc>
      </w:tr>
    </w:tbl>
    <w:p>
      <w:pPr>
        <w:pStyle w:val="null3"/>
        <w:jc w:val="left"/>
      </w:pPr>
      <w:r>
        <w:rPr/>
        <w:t>附加符合性：无</w:t>
      </w:r>
    </w:p>
    <w:p>
      <w:pPr>
        <w:pStyle w:val="null3"/>
        <w:jc w:val="left"/>
      </w:pPr>
      <w:r>
        <w:rPr/>
        <w:t>价格符合性：无</w:t>
      </w:r>
    </w:p>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①开标（报价）一览表内容与电子投标文件中相应内容不一致的，以开标（报价）一览表为准；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③单价金额小数点或百分比有明显错位的，以开标（报价）一览表的总价为准，并修改单价；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中宏源建设管理有限公司</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r>
        <w:rPr/>
        <w:t>采购包1：综合评分法</w:t>
      </w:r>
    </w:p>
    <w:p>
      <w:pPr>
        <w:pStyle w:val="null3"/>
        <w:jc w:val="both"/>
      </w:pPr>
      <w:r>
        <w:rPr/>
        <w:t>采购包2：综合评分法</w:t>
      </w:r>
    </w:p>
    <w:p>
      <w:pPr>
        <w:pStyle w:val="null3"/>
        <w:jc w:val="both"/>
      </w:pPr>
      <w:r>
        <w:rPr/>
        <w:t>采购包3：综合评分法</w:t>
      </w:r>
    </w:p>
    <w:p>
      <w:pPr>
        <w:pStyle w:val="null3"/>
        <w:ind w:firstLine="480"/>
        <w:jc w:val="both"/>
      </w:pPr>
      <w:r>
        <w:rPr/>
        <w:t>7.2评标标准</w:t>
      </w:r>
    </w:p>
    <w:p>
      <w:pPr>
        <w:pStyle w:val="null3"/>
        <w:ind w:firstLine="480"/>
        <w:jc w:val="both"/>
      </w:pPr>
      <w:r>
        <w:rPr/>
        <w:t>采购包1：综合评分法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w:t>
      </w:r>
      <w:r>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t>各项评审因素的设置如下：</w:t>
      </w:r>
    </w:p>
    <w:p>
      <w:pPr>
        <w:pStyle w:val="null3"/>
        <w:jc w:val="both"/>
      </w:pPr>
      <w:r>
        <w:rPr/>
        <w:t>价格项（F1×A1）满分为15.0000分</w:t>
      </w:r>
    </w:p>
    <w:p>
      <w:pPr>
        <w:pStyle w:val="null3"/>
        <w:jc w:val="both"/>
      </w:pPr>
      <w:r>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技术项（F2×A2）满分为70.0000分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技术和服务要求响应情况</w:t>
            </w:r>
          </w:p>
        </w:tc>
        <w:tc>
          <w:tcPr>
            <w:tcW w:type="dxa" w:w="831"/>
          </w:tcPr>
          <w:p>
            <w:pPr>
              <w:pStyle w:val="null3"/>
              <w:jc w:val="right"/>
            </w:pPr>
            <w:r>
              <w:rPr/>
              <w:t>49.0000</w:t>
            </w:r>
          </w:p>
        </w:tc>
        <w:tc>
          <w:tcPr>
            <w:tcW w:type="dxa" w:w="4153"/>
          </w:tcPr>
          <w:p>
            <w:pPr>
              <w:pStyle w:val="null3"/>
              <w:jc w:val="both"/>
            </w:pPr>
            <w:r>
              <w:rPr/>
              <w:t>根据各投标人所投服务对招标文件“第五章招标内容及要求，二、技术和服务要求”中各项技术要求的逐项响应情况并结合相关佐证材料（若有）由评委进行评分：完全满足招标文件要求（共19项）的得49分，其中，技术参数中带以“★”标示的内容（5项）为不允许负偏离的实质性要求，否则按无效投标处理；未带符号条款（共14项）每负偏离一项扣3.5分；正偏离不加分。评委将按照上述评分标准计算投标人的技术指标得分。</w:t>
            </w:r>
          </w:p>
        </w:tc>
      </w:tr>
      <w:tr>
        <w:tc>
          <w:tcPr>
            <w:tcW w:type="dxa" w:w="3322"/>
          </w:tcPr>
          <w:p>
            <w:pPr>
              <w:pStyle w:val="null3"/>
              <w:jc w:val="both"/>
            </w:pPr>
            <w:r>
              <w:rPr/>
              <w:t>对运维项目的整体理解</w:t>
            </w:r>
          </w:p>
        </w:tc>
        <w:tc>
          <w:tcPr>
            <w:tcW w:type="dxa" w:w="831"/>
          </w:tcPr>
          <w:p>
            <w:pPr>
              <w:pStyle w:val="null3"/>
              <w:jc w:val="right"/>
            </w:pPr>
            <w:r>
              <w:rPr/>
              <w:t>3.0000</w:t>
            </w:r>
          </w:p>
        </w:tc>
        <w:tc>
          <w:tcPr>
            <w:tcW w:type="dxa" w:w="4153"/>
          </w:tcPr>
          <w:p>
            <w:pPr>
              <w:pStyle w:val="null3"/>
              <w:jc w:val="both"/>
            </w:pPr>
            <w:r>
              <w:rPr/>
              <w:t>根据各投标人对运维内容的了解，提供的运维服务方案总体描述具体、准确、内容充实，对重要问题能提出有效可行的解决办法和具体措施。由评审委员会评议进行打分：描述详实，内容具体，可操作性强的得3分；描述部分详实，内容不具体或部分可操作性强的得2.9分；描述简单或可操作性不强的得2.8分；其余情况不得分。</w:t>
            </w:r>
          </w:p>
        </w:tc>
      </w:tr>
      <w:tr>
        <w:tc>
          <w:tcPr>
            <w:tcW w:type="dxa" w:w="3322"/>
          </w:tcPr>
          <w:p>
            <w:pPr>
              <w:pStyle w:val="null3"/>
              <w:jc w:val="both"/>
            </w:pPr>
            <w:r>
              <w:rPr/>
              <w:t>执法业务应用软件日常技术支持</w:t>
            </w:r>
          </w:p>
        </w:tc>
        <w:tc>
          <w:tcPr>
            <w:tcW w:type="dxa" w:w="831"/>
          </w:tcPr>
          <w:p>
            <w:pPr>
              <w:pStyle w:val="null3"/>
              <w:jc w:val="right"/>
            </w:pPr>
            <w:r>
              <w:rPr/>
              <w:t>3.0000</w:t>
            </w:r>
          </w:p>
        </w:tc>
        <w:tc>
          <w:tcPr>
            <w:tcW w:type="dxa" w:w="4153"/>
          </w:tcPr>
          <w:p>
            <w:pPr>
              <w:pStyle w:val="null3"/>
              <w:jc w:val="both"/>
            </w:pPr>
            <w:r>
              <w:rPr/>
              <w:t>根据各投标人对业务系统运行制定出具体的运维措施，包含系统备份、数据报表、文档整理等。由评审委员会评议进行打分：描述详实，内容具体，可操作性强的得3分；描述部分详实，内容不具体或部分可操作性强的得2.9分；描述简单或可操作性不强的得2.8分；其余情况不得分。</w:t>
            </w:r>
          </w:p>
        </w:tc>
      </w:tr>
      <w:tr>
        <w:tc>
          <w:tcPr>
            <w:tcW w:type="dxa" w:w="3322"/>
          </w:tcPr>
          <w:p>
            <w:pPr>
              <w:pStyle w:val="null3"/>
              <w:jc w:val="both"/>
            </w:pPr>
            <w:r>
              <w:rPr/>
              <w:t>执法业务应用软件故障处理</w:t>
            </w:r>
          </w:p>
        </w:tc>
        <w:tc>
          <w:tcPr>
            <w:tcW w:type="dxa" w:w="831"/>
          </w:tcPr>
          <w:p>
            <w:pPr>
              <w:pStyle w:val="null3"/>
              <w:jc w:val="right"/>
            </w:pPr>
            <w:r>
              <w:rPr/>
              <w:t>3.0000</w:t>
            </w:r>
          </w:p>
        </w:tc>
        <w:tc>
          <w:tcPr>
            <w:tcW w:type="dxa" w:w="4153"/>
          </w:tcPr>
          <w:p>
            <w:pPr>
              <w:pStyle w:val="null3"/>
              <w:jc w:val="both"/>
            </w:pPr>
            <w:r>
              <w:rPr/>
              <w:t>根据各投标人对业务系统故障制定出具体的运维措施，包含故障分级分类、修复方法、修复时限等。由评审委员会评议进行打分：描述详实，内容具体，可操作性强的得3分；描述部分详实，内容不具体或部分可操作性强的得2.9分；描述简单或可操作性不强的得2.8分；其余情况不得分。</w:t>
            </w:r>
          </w:p>
        </w:tc>
      </w:tr>
      <w:tr>
        <w:tc>
          <w:tcPr>
            <w:tcW w:type="dxa" w:w="3322"/>
          </w:tcPr>
          <w:p>
            <w:pPr>
              <w:pStyle w:val="null3"/>
              <w:jc w:val="both"/>
            </w:pPr>
            <w:r>
              <w:rPr/>
              <w:t>执法业务应用软件系统补丁升级</w:t>
            </w:r>
          </w:p>
        </w:tc>
        <w:tc>
          <w:tcPr>
            <w:tcW w:type="dxa" w:w="831"/>
          </w:tcPr>
          <w:p>
            <w:pPr>
              <w:pStyle w:val="null3"/>
              <w:jc w:val="right"/>
            </w:pPr>
            <w:r>
              <w:rPr/>
              <w:t>2.0000</w:t>
            </w:r>
          </w:p>
        </w:tc>
        <w:tc>
          <w:tcPr>
            <w:tcW w:type="dxa" w:w="4153"/>
          </w:tcPr>
          <w:p>
            <w:pPr>
              <w:pStyle w:val="null3"/>
              <w:jc w:val="both"/>
            </w:pPr>
            <w:r>
              <w:rPr/>
              <w:t>根据各投标人对系统补丁升级制定出具体的运维措施，包含操作系统、中间件及业务应用软件的补丁。由评审委员会评议进行打分：描述详实，内容具体，可操作性强的得2分；描述部分详实，内容不具体或部分可操作性强的得1.9分；描述简单或可操作性不强的得1.8分；其余情况不得分。</w:t>
            </w:r>
          </w:p>
        </w:tc>
      </w:tr>
      <w:tr>
        <w:tc>
          <w:tcPr>
            <w:tcW w:type="dxa" w:w="3322"/>
          </w:tcPr>
          <w:p>
            <w:pPr>
              <w:pStyle w:val="null3"/>
              <w:jc w:val="both"/>
            </w:pPr>
            <w:r>
              <w:rPr/>
              <w:t>执法业务应用软件业务系统功能优化</w:t>
            </w:r>
          </w:p>
        </w:tc>
        <w:tc>
          <w:tcPr>
            <w:tcW w:type="dxa" w:w="831"/>
          </w:tcPr>
          <w:p>
            <w:pPr>
              <w:pStyle w:val="null3"/>
              <w:jc w:val="right"/>
            </w:pPr>
            <w:r>
              <w:rPr/>
              <w:t>2.0000</w:t>
            </w:r>
          </w:p>
        </w:tc>
        <w:tc>
          <w:tcPr>
            <w:tcW w:type="dxa" w:w="4153"/>
          </w:tcPr>
          <w:p>
            <w:pPr>
              <w:pStyle w:val="null3"/>
              <w:jc w:val="both"/>
            </w:pPr>
            <w:r>
              <w:rPr/>
              <w:t>根据各投标人对本项目的便捷化提升、数据结构优化等方案。由评审委员会评委评议进行打分：描述详实，内容具体，可操作性强的得2分；描述部分详实，内容不具体或部分可操作性强的得1.9分；描述简单或可操作性不强的得1.8分；其余情况不得分。</w:t>
            </w:r>
          </w:p>
        </w:tc>
      </w:tr>
      <w:tr>
        <w:tc>
          <w:tcPr>
            <w:tcW w:type="dxa" w:w="3322"/>
          </w:tcPr>
          <w:p>
            <w:pPr>
              <w:pStyle w:val="null3"/>
              <w:jc w:val="both"/>
            </w:pPr>
            <w:r>
              <w:rPr/>
              <w:t>执法业务应用软件现有数据接口运行维护</w:t>
            </w:r>
          </w:p>
        </w:tc>
        <w:tc>
          <w:tcPr>
            <w:tcW w:type="dxa" w:w="831"/>
          </w:tcPr>
          <w:p>
            <w:pPr>
              <w:pStyle w:val="null3"/>
              <w:jc w:val="right"/>
            </w:pPr>
            <w:r>
              <w:rPr/>
              <w:t>2.0000</w:t>
            </w:r>
          </w:p>
        </w:tc>
        <w:tc>
          <w:tcPr>
            <w:tcW w:type="dxa" w:w="4153"/>
          </w:tcPr>
          <w:p>
            <w:pPr>
              <w:pStyle w:val="null3"/>
              <w:jc w:val="both"/>
            </w:pPr>
            <w:r>
              <w:rPr/>
              <w:t>根据各投标人对数据接口运行制定出具体的运维措施，包含接口的稳定性、数据的准确性及时性。由评审委员会评议进行打分：描述详实，内容具体，可操作性强的得2分；描述部分详实，内容不具体或部分可操作性强的得1.9分；描述简单或可操作性不强的得1.8分；其余情况不得分。</w:t>
            </w:r>
          </w:p>
        </w:tc>
      </w:tr>
      <w:tr>
        <w:tc>
          <w:tcPr>
            <w:tcW w:type="dxa" w:w="3322"/>
          </w:tcPr>
          <w:p>
            <w:pPr>
              <w:pStyle w:val="null3"/>
              <w:jc w:val="both"/>
            </w:pPr>
            <w:r>
              <w:rPr/>
              <w:t>安全服务</w:t>
            </w:r>
          </w:p>
        </w:tc>
        <w:tc>
          <w:tcPr>
            <w:tcW w:type="dxa" w:w="831"/>
          </w:tcPr>
          <w:p>
            <w:pPr>
              <w:pStyle w:val="null3"/>
              <w:jc w:val="right"/>
            </w:pPr>
            <w:r>
              <w:rPr/>
              <w:t>2.0000</w:t>
            </w:r>
          </w:p>
        </w:tc>
        <w:tc>
          <w:tcPr>
            <w:tcW w:type="dxa" w:w="4153"/>
          </w:tcPr>
          <w:p>
            <w:pPr>
              <w:pStyle w:val="null3"/>
              <w:jc w:val="both"/>
            </w:pPr>
            <w:r>
              <w:rPr/>
              <w:t>根据各投标人制定安全运维服务方案，包含安全检查方式、频次，安全问题响应时间、安全评估报告等内容。由评审委员会评议进行打分：描述详实，内容具体，可操作性强的得2分；描述部分详实，内容不具体或部分可操作性强的得1.9分；描述简单或可操作性不强的得1.8分；其余情况不得分。</w:t>
            </w:r>
          </w:p>
        </w:tc>
      </w:tr>
      <w:tr>
        <w:tc>
          <w:tcPr>
            <w:tcW w:type="dxa" w:w="3322"/>
          </w:tcPr>
          <w:p>
            <w:pPr>
              <w:pStyle w:val="null3"/>
              <w:jc w:val="both"/>
            </w:pPr>
            <w:r>
              <w:rPr/>
              <w:t>运维服务方式</w:t>
            </w:r>
          </w:p>
        </w:tc>
        <w:tc>
          <w:tcPr>
            <w:tcW w:type="dxa" w:w="831"/>
          </w:tcPr>
          <w:p>
            <w:pPr>
              <w:pStyle w:val="null3"/>
              <w:jc w:val="right"/>
            </w:pPr>
            <w:r>
              <w:rPr/>
              <w:t>2.0000</w:t>
            </w:r>
          </w:p>
        </w:tc>
        <w:tc>
          <w:tcPr>
            <w:tcW w:type="dxa" w:w="4153"/>
          </w:tcPr>
          <w:p>
            <w:pPr>
              <w:pStyle w:val="null3"/>
              <w:jc w:val="both"/>
            </w:pPr>
            <w:r>
              <w:rPr/>
              <w:t>根据各投标人能够提供切实可行且具有可操作性的运维服务方式方案。由评审委员会评议进行打分：描述详实，内容具体，可操作性强的得2分；描述部分详实，内容不具体或部分可操作性强的得1.9分；描述简单或可操作性不强的得1.8分；其余情况不得分。</w:t>
            </w:r>
          </w:p>
        </w:tc>
      </w:tr>
      <w:tr>
        <w:tc>
          <w:tcPr>
            <w:tcW w:type="dxa" w:w="3322"/>
          </w:tcPr>
          <w:p>
            <w:pPr>
              <w:pStyle w:val="null3"/>
              <w:jc w:val="both"/>
            </w:pPr>
            <w:r>
              <w:rPr/>
              <w:t>运维应急响应</w:t>
            </w:r>
          </w:p>
        </w:tc>
        <w:tc>
          <w:tcPr>
            <w:tcW w:type="dxa" w:w="831"/>
          </w:tcPr>
          <w:p>
            <w:pPr>
              <w:pStyle w:val="null3"/>
              <w:jc w:val="right"/>
            </w:pPr>
            <w:r>
              <w:rPr/>
              <w:t>2.0000</w:t>
            </w:r>
          </w:p>
        </w:tc>
        <w:tc>
          <w:tcPr>
            <w:tcW w:type="dxa" w:w="4153"/>
          </w:tcPr>
          <w:p>
            <w:pPr>
              <w:pStyle w:val="null3"/>
              <w:jc w:val="both"/>
            </w:pPr>
            <w:r>
              <w:rPr/>
              <w:t>根据各投标人能够提供切实可行且具有可操作性的运维应急响应方案。由评审委员会评议进行打分：描述详实，内容具体，可操作性强的得2分；描述部分详实，内容不具体或部分可操作性强的得1.9分；描述简单或可操作性不强的得1.8分；其余情况不得分。</w:t>
            </w:r>
          </w:p>
        </w:tc>
      </w:tr>
    </w:tbl>
    <w:p>
      <w:pPr>
        <w:pStyle w:val="null3"/>
        <w:jc w:val="both"/>
      </w:pPr>
      <w:r>
        <w:rPr/>
        <w:t>商务项（F3×A3）满分为15.0000分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业绩</w:t>
            </w:r>
          </w:p>
        </w:tc>
        <w:tc>
          <w:tcPr>
            <w:tcW w:type="dxa" w:w="831"/>
          </w:tcPr>
          <w:p>
            <w:pPr>
              <w:pStyle w:val="null3"/>
              <w:jc w:val="right"/>
            </w:pPr>
            <w:r>
              <w:rPr/>
              <w:t>3.0000</w:t>
            </w:r>
          </w:p>
        </w:tc>
        <w:tc>
          <w:tcPr>
            <w:tcW w:type="dxa" w:w="4153"/>
          </w:tcPr>
          <w:p>
            <w:pPr>
              <w:pStyle w:val="null3"/>
              <w:jc w:val="both"/>
            </w:pPr>
            <w:r>
              <w:rPr/>
              <w:t>根据供应商提供的自2021年1月1日起至本次首次响应文件递交截止时间止（日期以合同签订时间为准），由供应商所完成且验收合格的类似本项目业绩情况进行评分：每提供1份有效业绩的得1分，满分3分。 注：须同时提供中标（成交）公告（提供相关网站中标（成交）公告的下载网页并注明网址）、中标（成交）通知书复印件、采购合同文本复印件，以及能够证明该业绩项目已经采购人验收合格的相关证明文件复印件，否则不得分。</w:t>
            </w:r>
          </w:p>
        </w:tc>
      </w:tr>
      <w:tr>
        <w:tc>
          <w:tcPr>
            <w:tcW w:type="dxa" w:w="3322"/>
          </w:tcPr>
          <w:p>
            <w:pPr>
              <w:pStyle w:val="null3"/>
              <w:jc w:val="both"/>
            </w:pPr>
            <w:r>
              <w:rPr/>
              <w:t>满意度情况</w:t>
            </w:r>
          </w:p>
        </w:tc>
        <w:tc>
          <w:tcPr>
            <w:tcW w:type="dxa" w:w="831"/>
          </w:tcPr>
          <w:p>
            <w:pPr>
              <w:pStyle w:val="null3"/>
              <w:jc w:val="right"/>
            </w:pPr>
            <w:r>
              <w:rPr/>
              <w:t>3.0000</w:t>
            </w:r>
          </w:p>
        </w:tc>
        <w:tc>
          <w:tcPr>
            <w:tcW w:type="dxa" w:w="4153"/>
          </w:tcPr>
          <w:p>
            <w:pPr>
              <w:pStyle w:val="null3"/>
              <w:jc w:val="both"/>
            </w:pPr>
            <w:r>
              <w:rPr/>
              <w:t>根据供应商提供2021年1月1日起起至本次首次响应文件递交截止时间止（日期以合同签订时间为准）,正在履行或已完成与本次采购同类运维项目的采购人单位满意证明材料进行评分，每提供1份完整的满意证明材料的得1分，满分3分。注：须提供采购人单位盖章的满意证明材料及双方签定的合同复印件，否则不得分。（同一单位或其使用部门出具的满意度证明材料不重复得分。业绩、满意度情况提供同一项目的不重复得分。）</w:t>
            </w:r>
          </w:p>
        </w:tc>
      </w:tr>
      <w:tr>
        <w:tc>
          <w:tcPr>
            <w:tcW w:type="dxa" w:w="3322"/>
          </w:tcPr>
          <w:p>
            <w:pPr>
              <w:pStyle w:val="null3"/>
              <w:jc w:val="both"/>
            </w:pPr>
            <w:r>
              <w:rPr/>
              <w:t>人力实力</w:t>
            </w:r>
          </w:p>
        </w:tc>
        <w:tc>
          <w:tcPr>
            <w:tcW w:type="dxa" w:w="831"/>
          </w:tcPr>
          <w:p>
            <w:pPr>
              <w:pStyle w:val="null3"/>
              <w:jc w:val="right"/>
            </w:pPr>
            <w:r>
              <w:rPr/>
              <w:t>3.0000</w:t>
            </w:r>
          </w:p>
        </w:tc>
        <w:tc>
          <w:tcPr>
            <w:tcW w:type="dxa" w:w="4153"/>
          </w:tcPr>
          <w:p>
            <w:pPr>
              <w:pStyle w:val="null3"/>
              <w:jc w:val="both"/>
            </w:pPr>
            <w:r>
              <w:rPr/>
              <w:t>供应商针对本项目拟投入的运维人员（在招标文件的基础之上）中具有ITSS服务工程师3名（含）以上的得3分；2名的得2分，1名的得1分，少于1名的不得分。注：须提供相关人员的身份证复印件、相关证书复印件及响应文件递交截止时间前6个月内任意一个月(不含响应文件递交截止时间当月)供应商为其缴纳社保的证明材料复印件，否则不得分。</w:t>
            </w:r>
          </w:p>
        </w:tc>
      </w:tr>
      <w:tr>
        <w:tc>
          <w:tcPr>
            <w:tcW w:type="dxa" w:w="3322"/>
          </w:tcPr>
          <w:p>
            <w:pPr>
              <w:pStyle w:val="null3"/>
              <w:jc w:val="both"/>
            </w:pPr>
            <w:r>
              <w:rPr/>
              <w:t>人力实力</w:t>
            </w:r>
          </w:p>
        </w:tc>
        <w:tc>
          <w:tcPr>
            <w:tcW w:type="dxa" w:w="831"/>
          </w:tcPr>
          <w:p>
            <w:pPr>
              <w:pStyle w:val="null3"/>
              <w:jc w:val="right"/>
            </w:pPr>
            <w:r>
              <w:rPr/>
              <w:t>3.0000</w:t>
            </w:r>
          </w:p>
        </w:tc>
        <w:tc>
          <w:tcPr>
            <w:tcW w:type="dxa" w:w="4153"/>
          </w:tcPr>
          <w:p>
            <w:pPr>
              <w:pStyle w:val="null3"/>
              <w:jc w:val="both"/>
            </w:pPr>
            <w:r>
              <w:rPr/>
              <w:t>供应商针对本项目拟投入的技术人员中具有高级软件工程师证书人员的得1.5分；具有软件设计师证书人员的得1.5分；满分3分。注：须提供相关人员的身份证复印件、相关证书复印件及响应文件递交截止时间前6个月内任意一个月(不含响应文件递交截止时间当月)供应商为其缴纳社保的证明材料复印件，否则不得分。</w:t>
            </w:r>
          </w:p>
        </w:tc>
      </w:tr>
      <w:tr>
        <w:tc>
          <w:tcPr>
            <w:tcW w:type="dxa" w:w="3322"/>
          </w:tcPr>
          <w:p>
            <w:pPr>
              <w:pStyle w:val="null3"/>
              <w:jc w:val="both"/>
            </w:pPr>
            <w:r>
              <w:rPr/>
              <w:t>售后服务团队</w:t>
            </w:r>
          </w:p>
        </w:tc>
        <w:tc>
          <w:tcPr>
            <w:tcW w:type="dxa" w:w="831"/>
          </w:tcPr>
          <w:p>
            <w:pPr>
              <w:pStyle w:val="null3"/>
              <w:jc w:val="right"/>
            </w:pPr>
            <w:r>
              <w:rPr/>
              <w:t>3.0000</w:t>
            </w:r>
          </w:p>
        </w:tc>
        <w:tc>
          <w:tcPr>
            <w:tcW w:type="dxa" w:w="4153"/>
          </w:tcPr>
          <w:p>
            <w:pPr>
              <w:pStyle w:val="null3"/>
              <w:jc w:val="both"/>
            </w:pPr>
            <w:r>
              <w:rPr/>
              <w:t>根据供应商提供为本项目拟配备运维服务团队（满足本项目人员基本要求外）情况进行评分：①运维服务团队成员每增加一名的得1分，满分2分。需提供人员清单及该人员近6个月中任意1个月的社保缴纳证明复印件并加盖公章；②售后服务团队中至少1人具有5年以上电子政务类工作经历的得1分，投标人需提供证书复印件及该人员近6个月中任意一个月的社保缴纳证明复印件及工作经历承诺函并加盖公章。未提供的或提供不完整的本项不得分。（满分3分）</w:t>
            </w:r>
          </w:p>
        </w:tc>
      </w:tr>
    </w:tbl>
    <w:p>
      <w:pPr>
        <w:pStyle w:val="null3"/>
        <w:jc w:val="both"/>
      </w:pPr>
      <w:r>
        <w:rPr/>
        <w:t>※除本章第6.3条第（3）款规定情形和落实政府采购政策需进行的价格扣除情形外，不能对投标人的投标报价进行任何调整。</w:t>
      </w:r>
    </w:p>
    <w:p>
      <w:pPr>
        <w:pStyle w:val="null3"/>
        <w:jc w:val="both"/>
      </w:pPr>
      <w:r>
        <w:rPr/>
        <w:t>（3）中标候选人排列规则顺序如下：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jc w:val="both"/>
      </w:pPr>
      <w:r>
        <w:rPr/>
        <w:t>采购包2：综合评分法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w:t>
      </w:r>
      <w:r>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t>各项评审因素的设置如下：</w:t>
      </w:r>
    </w:p>
    <w:p>
      <w:pPr>
        <w:pStyle w:val="null3"/>
        <w:jc w:val="both"/>
      </w:pPr>
      <w:r>
        <w:rPr/>
        <w:t>价格项（F1×A1）满分为10.0000分</w:t>
      </w:r>
    </w:p>
    <w:p>
      <w:pPr>
        <w:pStyle w:val="null3"/>
        <w:jc w:val="both"/>
      </w:pPr>
      <w:r>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技术项（F2×A2）满分为75.0000分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技术服务响应情况</w:t>
            </w:r>
          </w:p>
        </w:tc>
        <w:tc>
          <w:tcPr>
            <w:tcW w:type="dxa" w:w="831"/>
          </w:tcPr>
          <w:p>
            <w:pPr>
              <w:pStyle w:val="null3"/>
              <w:jc w:val="right"/>
            </w:pPr>
            <w:r>
              <w:rPr/>
              <w:t>48.0000</w:t>
            </w:r>
          </w:p>
        </w:tc>
        <w:tc>
          <w:tcPr>
            <w:tcW w:type="dxa" w:w="4153"/>
          </w:tcPr>
          <w:p>
            <w:pPr>
              <w:pStyle w:val="null3"/>
              <w:jc w:val="both"/>
            </w:pPr>
            <w:r>
              <w:rPr/>
              <w:t>根据各投标人所投服务对招标文件“第五章招标内容及要求，二、技术和服务要求”中各项技术要求的逐项响应情况并结合相关佐证材料（若有）由评委进行评分：完全满足招标文件要求（共24项）的得48分，其中，技术参数中带以“★”标示的内容（4项）为不允许负偏离的实质性要求，否则按无效投标处理；未带符号条款（共20项）每负偏离一项扣2.4分；正偏离不加分。评委将按照上述评分标准计算投标人的技术指标得分。</w:t>
            </w:r>
          </w:p>
        </w:tc>
      </w:tr>
      <w:tr>
        <w:tc>
          <w:tcPr>
            <w:tcW w:type="dxa" w:w="3322"/>
          </w:tcPr>
          <w:p>
            <w:pPr>
              <w:pStyle w:val="null3"/>
              <w:jc w:val="both"/>
            </w:pPr>
            <w:r>
              <w:rPr/>
              <w:t>系统现状及需求分析</w:t>
            </w:r>
          </w:p>
        </w:tc>
        <w:tc>
          <w:tcPr>
            <w:tcW w:type="dxa" w:w="831"/>
          </w:tcPr>
          <w:p>
            <w:pPr>
              <w:pStyle w:val="null3"/>
              <w:jc w:val="right"/>
            </w:pPr>
            <w:r>
              <w:rPr/>
              <w:t>2.0000</w:t>
            </w:r>
          </w:p>
        </w:tc>
        <w:tc>
          <w:tcPr>
            <w:tcW w:type="dxa" w:w="4153"/>
          </w:tcPr>
          <w:p>
            <w:pPr>
              <w:pStyle w:val="null3"/>
              <w:jc w:val="both"/>
            </w:pPr>
            <w:r>
              <w:rPr/>
              <w:t>评委根据投标人对业务系统的现状及需求的分析方案进行评分，现状及需求分析包括但不限于项目背景的阐述、维护服务目标等内容。现状及需求分析包含上述内容，且内容详实，符合项目实际情况的得2分；现状及需求分析包含上述内容但不具体，基本符合项目实际情况的得1.9分；现状及需求分析内容部分符合项目实际情况的得1.8分；未提供的不得分。</w:t>
            </w:r>
          </w:p>
        </w:tc>
      </w:tr>
      <w:tr>
        <w:tc>
          <w:tcPr>
            <w:tcW w:type="dxa" w:w="3322"/>
          </w:tcPr>
          <w:p>
            <w:pPr>
              <w:pStyle w:val="null3"/>
              <w:jc w:val="both"/>
            </w:pPr>
            <w:r>
              <w:rPr/>
              <w:t>中心办公网络运维保障</w:t>
            </w:r>
          </w:p>
        </w:tc>
        <w:tc>
          <w:tcPr>
            <w:tcW w:type="dxa" w:w="831"/>
          </w:tcPr>
          <w:p>
            <w:pPr>
              <w:pStyle w:val="null3"/>
              <w:jc w:val="right"/>
            </w:pPr>
            <w:r>
              <w:rPr/>
              <w:t>3.0000</w:t>
            </w:r>
          </w:p>
        </w:tc>
        <w:tc>
          <w:tcPr>
            <w:tcW w:type="dxa" w:w="4153"/>
          </w:tcPr>
          <w:p>
            <w:pPr>
              <w:pStyle w:val="null3"/>
              <w:jc w:val="both"/>
            </w:pPr>
            <w:r>
              <w:rPr/>
              <w:t>评委根据投标人对中心办公网络制定出具体的运维措施进行评分，措施包括但不限于互联网、政务外网、内网等网络保障等内容。措施包含上述内容，且内容详实，具有操作性的得3分；措施包含上述内容，但内容不具体，具有部分操作性的得2.9分；措施不完全包含上述内容，但部分具有操作性的得2.7分；未提供措施的不得分。</w:t>
            </w:r>
          </w:p>
        </w:tc>
      </w:tr>
      <w:tr>
        <w:tc>
          <w:tcPr>
            <w:tcW w:type="dxa" w:w="3322"/>
          </w:tcPr>
          <w:p>
            <w:pPr>
              <w:pStyle w:val="null3"/>
              <w:jc w:val="both"/>
            </w:pPr>
            <w:r>
              <w:rPr/>
              <w:t>中心办公设备运维保障</w:t>
            </w:r>
          </w:p>
        </w:tc>
        <w:tc>
          <w:tcPr>
            <w:tcW w:type="dxa" w:w="831"/>
          </w:tcPr>
          <w:p>
            <w:pPr>
              <w:pStyle w:val="null3"/>
              <w:jc w:val="right"/>
            </w:pPr>
            <w:r>
              <w:rPr/>
              <w:t>3.0000</w:t>
            </w:r>
          </w:p>
        </w:tc>
        <w:tc>
          <w:tcPr>
            <w:tcW w:type="dxa" w:w="4153"/>
          </w:tcPr>
          <w:p>
            <w:pPr>
              <w:pStyle w:val="null3"/>
              <w:jc w:val="both"/>
            </w:pPr>
            <w:r>
              <w:rPr/>
              <w:t>评委根据投标人对中心办公设备制定出具体的运维措施进行评分，措施包括但不限于对办公电脑、网络设备、电话、打印机故障分级分类、修复方法、修复时限等维护内容。运维措施包含上述内容，且内容详实，具有操作性的得3分；运维措施包含上述内容，但内容不具体，具有部分操作性的得2.9分；措施不完全包含上述内容，但部分具有操作性的得2.7分；未提供措施的不得分。</w:t>
            </w:r>
          </w:p>
        </w:tc>
      </w:tr>
      <w:tr>
        <w:tc>
          <w:tcPr>
            <w:tcW w:type="dxa" w:w="3322"/>
          </w:tcPr>
          <w:p>
            <w:pPr>
              <w:pStyle w:val="null3"/>
              <w:jc w:val="both"/>
            </w:pPr>
            <w:r>
              <w:rPr/>
              <w:t>会议系统运维</w:t>
            </w:r>
          </w:p>
        </w:tc>
        <w:tc>
          <w:tcPr>
            <w:tcW w:type="dxa" w:w="831"/>
          </w:tcPr>
          <w:p>
            <w:pPr>
              <w:pStyle w:val="null3"/>
              <w:jc w:val="right"/>
            </w:pPr>
            <w:r>
              <w:rPr/>
              <w:t>3.0000</w:t>
            </w:r>
          </w:p>
        </w:tc>
        <w:tc>
          <w:tcPr>
            <w:tcW w:type="dxa" w:w="4153"/>
          </w:tcPr>
          <w:p>
            <w:pPr>
              <w:pStyle w:val="null3"/>
              <w:jc w:val="both"/>
            </w:pPr>
            <w:r>
              <w:rPr/>
              <w:t>评委根据投标人对会议系统运维制定出具体的运维措施进行评分，措施内容包括但不限于会议系统检修频次、检修方式、应急保障等内容。措施包含上述内容，且内容详实，具有操作性的得3分；措施包含上述内容，但内容不具体，具有部分操作性的得2.9分；措施不完全包含上述内容，但部分具有操作性的得2.7分；未提供措施的不得分。</w:t>
            </w:r>
          </w:p>
        </w:tc>
      </w:tr>
      <w:tr>
        <w:tc>
          <w:tcPr>
            <w:tcW w:type="dxa" w:w="3322"/>
          </w:tcPr>
          <w:p>
            <w:pPr>
              <w:pStyle w:val="null3"/>
              <w:jc w:val="both"/>
            </w:pPr>
            <w:r>
              <w:rPr/>
              <w:t>办公自动化系统（OA系统）运维方案</w:t>
            </w:r>
          </w:p>
        </w:tc>
        <w:tc>
          <w:tcPr>
            <w:tcW w:type="dxa" w:w="831"/>
          </w:tcPr>
          <w:p>
            <w:pPr>
              <w:pStyle w:val="null3"/>
              <w:jc w:val="right"/>
            </w:pPr>
            <w:r>
              <w:rPr/>
              <w:t>3.0000</w:t>
            </w:r>
          </w:p>
        </w:tc>
        <w:tc>
          <w:tcPr>
            <w:tcW w:type="dxa" w:w="4153"/>
          </w:tcPr>
          <w:p>
            <w:pPr>
              <w:pStyle w:val="null3"/>
              <w:jc w:val="both"/>
            </w:pPr>
            <w:r>
              <w:rPr/>
              <w:t>评委根据投标人对办公自动化系统（OA系统）运行维护制定出具体的措施进行评分，措施内容包括但不限于工作流程、账户管理的优化，开展与省一体化系统对接改造工作等内容。措施包含上述内容，且内容详实，具有操作性的得3分；措施包含上述内容，但内容不具体，具有部分操作性的得2.9分；措施不完全包含上述内容，但部分具有操作性的得2.7分；未提供措施的不得分。</w:t>
            </w:r>
          </w:p>
        </w:tc>
      </w:tr>
      <w:tr>
        <w:tc>
          <w:tcPr>
            <w:tcW w:type="dxa" w:w="3322"/>
          </w:tcPr>
          <w:p>
            <w:pPr>
              <w:pStyle w:val="null3"/>
              <w:jc w:val="both"/>
            </w:pPr>
            <w:r>
              <w:rPr/>
              <w:t>现场巡检服务</w:t>
            </w:r>
          </w:p>
        </w:tc>
        <w:tc>
          <w:tcPr>
            <w:tcW w:type="dxa" w:w="831"/>
          </w:tcPr>
          <w:p>
            <w:pPr>
              <w:pStyle w:val="null3"/>
              <w:jc w:val="right"/>
            </w:pPr>
            <w:r>
              <w:rPr/>
              <w:t>3.0000</w:t>
            </w:r>
          </w:p>
        </w:tc>
        <w:tc>
          <w:tcPr>
            <w:tcW w:type="dxa" w:w="4153"/>
          </w:tcPr>
          <w:p>
            <w:pPr>
              <w:pStyle w:val="null3"/>
              <w:jc w:val="both"/>
            </w:pPr>
            <w:r>
              <w:rPr/>
              <w:t>评委根据投标人对办公信息化设备制定巡修方案进行评审，方案包括但不限巡检时间、频次、方式等内容。方案包含上述内容，且内容详实，具有操作性的得3分；方案包含上述内容，但内容不具体，具有部分操作性的得2.9分；方案不完全包含上述内容，但部分具有操作性的得2.7分；未提供方案的不得分。</w:t>
            </w:r>
          </w:p>
        </w:tc>
      </w:tr>
      <w:tr>
        <w:tc>
          <w:tcPr>
            <w:tcW w:type="dxa" w:w="3322"/>
          </w:tcPr>
          <w:p>
            <w:pPr>
              <w:pStyle w:val="null3"/>
              <w:jc w:val="both"/>
            </w:pPr>
            <w:r>
              <w:rPr/>
              <w:t>门户网站服务</w:t>
            </w:r>
          </w:p>
        </w:tc>
        <w:tc>
          <w:tcPr>
            <w:tcW w:type="dxa" w:w="831"/>
          </w:tcPr>
          <w:p>
            <w:pPr>
              <w:pStyle w:val="null3"/>
              <w:jc w:val="right"/>
            </w:pPr>
            <w:r>
              <w:rPr/>
              <w:t>3.0000</w:t>
            </w:r>
          </w:p>
        </w:tc>
        <w:tc>
          <w:tcPr>
            <w:tcW w:type="dxa" w:w="4153"/>
          </w:tcPr>
          <w:p>
            <w:pPr>
              <w:pStyle w:val="null3"/>
              <w:jc w:val="both"/>
            </w:pPr>
            <w:r>
              <w:rPr/>
              <w:t>评委根据投标人对门户网站制定运维服务方案进行评审，方案包括但不限数据维护、故障处理、版面修改等内容。方案包含上述内容，且内容详实，具有操作性的得3分；方案包含上述内容，但内容不具体，具有部分操作性的得2.9分；方案不完全包含上述内容，但部分具有操作性的得2.7分；未提供方案的不得分。</w:t>
            </w:r>
          </w:p>
        </w:tc>
      </w:tr>
      <w:tr>
        <w:tc>
          <w:tcPr>
            <w:tcW w:type="dxa" w:w="3322"/>
          </w:tcPr>
          <w:p>
            <w:pPr>
              <w:pStyle w:val="null3"/>
              <w:jc w:val="both"/>
            </w:pPr>
            <w:r>
              <w:rPr/>
              <w:t>运维人员保障方案</w:t>
            </w:r>
          </w:p>
        </w:tc>
        <w:tc>
          <w:tcPr>
            <w:tcW w:type="dxa" w:w="831"/>
          </w:tcPr>
          <w:p>
            <w:pPr>
              <w:pStyle w:val="null3"/>
              <w:jc w:val="right"/>
            </w:pPr>
            <w:r>
              <w:rPr/>
              <w:t>3.0000</w:t>
            </w:r>
          </w:p>
        </w:tc>
        <w:tc>
          <w:tcPr>
            <w:tcW w:type="dxa" w:w="4153"/>
          </w:tcPr>
          <w:p>
            <w:pPr>
              <w:pStyle w:val="null3"/>
              <w:jc w:val="both"/>
            </w:pPr>
            <w:r>
              <w:rPr/>
              <w:t>评委根据投标人提供的运维人员保障方案进行评分，方案包括但不限于运维团队架构、人员保障机制等内容。方案包含上述内容，且内容详实，具有操作性的得3分；方案包含上述内容，但内容不具体，具有部分操作性的得2.9分；方案不完全包含上述内容，但部分具有操作性的得2.7分；未提供方案的不得分。</w:t>
            </w:r>
          </w:p>
        </w:tc>
      </w:tr>
      <w:tr>
        <w:tc>
          <w:tcPr>
            <w:tcW w:type="dxa" w:w="3322"/>
          </w:tcPr>
          <w:p>
            <w:pPr>
              <w:pStyle w:val="null3"/>
              <w:jc w:val="both"/>
            </w:pPr>
            <w:r>
              <w:rPr/>
              <w:t>运维应急预案</w:t>
            </w:r>
          </w:p>
        </w:tc>
        <w:tc>
          <w:tcPr>
            <w:tcW w:type="dxa" w:w="831"/>
          </w:tcPr>
          <w:p>
            <w:pPr>
              <w:pStyle w:val="null3"/>
              <w:jc w:val="right"/>
            </w:pPr>
            <w:r>
              <w:rPr/>
              <w:t>2.0000</w:t>
            </w:r>
          </w:p>
        </w:tc>
        <w:tc>
          <w:tcPr>
            <w:tcW w:type="dxa" w:w="4153"/>
          </w:tcPr>
          <w:p>
            <w:pPr>
              <w:pStyle w:val="null3"/>
              <w:jc w:val="both"/>
            </w:pPr>
            <w:r>
              <w:rPr/>
              <w:t>评委根据投标人提供的突发事件应急预案进行评分，预案包括但不限于对环境原因、网络安全设备故障、系统故障、服务器存储故障、信息安全、突发事件等风险因素提出的应急处置措施，措施包含模拟事件案例、事件风险评估、处置流程、事件响应时间、应急人员分工、人员及其备品备件到场时间、故障诊断及排除时间要求等内容。应急预案包含上述内容，且内容详实，具有操作性的得2分；应急预案包含上述内容，但内容不具体，具有部分操作性的得1.9分；应急预案不完全包含上述内容，但部分具有操作性的得1.8分；未提供应急预案的不得分。</w:t>
            </w:r>
          </w:p>
        </w:tc>
      </w:tr>
      <w:tr>
        <w:tc>
          <w:tcPr>
            <w:tcW w:type="dxa" w:w="3322"/>
          </w:tcPr>
          <w:p>
            <w:pPr>
              <w:pStyle w:val="null3"/>
              <w:jc w:val="both"/>
            </w:pPr>
            <w:r>
              <w:rPr/>
              <w:t>安全服务</w:t>
            </w:r>
          </w:p>
        </w:tc>
        <w:tc>
          <w:tcPr>
            <w:tcW w:type="dxa" w:w="831"/>
          </w:tcPr>
          <w:p>
            <w:pPr>
              <w:pStyle w:val="null3"/>
              <w:jc w:val="right"/>
            </w:pPr>
            <w:r>
              <w:rPr/>
              <w:t>2.0000</w:t>
            </w:r>
          </w:p>
        </w:tc>
        <w:tc>
          <w:tcPr>
            <w:tcW w:type="dxa" w:w="4153"/>
          </w:tcPr>
          <w:p>
            <w:pPr>
              <w:pStyle w:val="null3"/>
              <w:jc w:val="both"/>
            </w:pPr>
            <w:r>
              <w:rPr/>
              <w:t>评委根据投标人对网站安全制定服务方案进行评审，方案包括但不限日常安全事务管理、网络安全边界管理等内容。方案包含上述内容，且内容详实，具有操作性的得2分；方案包含上述内容，但内容不具体，具有部分操作性的得1.9分；方案不完全包含上述内容，但部分具有操作性的得1.8分；未提供方案的不得分。</w:t>
            </w:r>
          </w:p>
        </w:tc>
      </w:tr>
    </w:tbl>
    <w:p>
      <w:pPr>
        <w:pStyle w:val="null3"/>
        <w:jc w:val="both"/>
      </w:pPr>
      <w:r>
        <w:rPr/>
        <w:t>商务项（F3×A3）满分为15.0000分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业绩</w:t>
            </w:r>
          </w:p>
        </w:tc>
        <w:tc>
          <w:tcPr>
            <w:tcW w:type="dxa" w:w="831"/>
          </w:tcPr>
          <w:p>
            <w:pPr>
              <w:pStyle w:val="null3"/>
              <w:jc w:val="right"/>
            </w:pPr>
            <w:r>
              <w:rPr/>
              <w:t>3.0000</w:t>
            </w:r>
          </w:p>
        </w:tc>
        <w:tc>
          <w:tcPr>
            <w:tcW w:type="dxa" w:w="4153"/>
          </w:tcPr>
          <w:p>
            <w:pPr>
              <w:pStyle w:val="null3"/>
              <w:jc w:val="both"/>
            </w:pPr>
            <w:r>
              <w:rPr/>
              <w:t>评委根据投标人提供自2021年1月1日起至本项目投标截止日期止(以合同签订日期为准)由投标人独立完成的办公信息化运维服务项目情况进行评分，每提供1份完整业绩证明材料的得1分，满分3分。 注：完整的业绩证明材料同时包含中标（成交）公告(提供相关网站中标（成交）公告的下载网页并注明网址)、中标（成交）通知书复印件、采购合同文本复印件，以及能够证明该业绩项目已经采购人验收合格的相关证明文件或用户评价复印件，未同时提供以上证明材料的本项不得分。</w:t>
            </w:r>
          </w:p>
        </w:tc>
      </w:tr>
      <w:tr>
        <w:tc>
          <w:tcPr>
            <w:tcW w:type="dxa" w:w="3322"/>
          </w:tcPr>
          <w:p>
            <w:pPr>
              <w:pStyle w:val="null3"/>
              <w:jc w:val="both"/>
            </w:pPr>
            <w:r>
              <w:rPr/>
              <w:t>满意度情况</w:t>
            </w:r>
          </w:p>
        </w:tc>
        <w:tc>
          <w:tcPr>
            <w:tcW w:type="dxa" w:w="831"/>
          </w:tcPr>
          <w:p>
            <w:pPr>
              <w:pStyle w:val="null3"/>
              <w:jc w:val="right"/>
            </w:pPr>
            <w:r>
              <w:rPr/>
              <w:t>3.0000</w:t>
            </w:r>
          </w:p>
        </w:tc>
        <w:tc>
          <w:tcPr>
            <w:tcW w:type="dxa" w:w="4153"/>
          </w:tcPr>
          <w:p>
            <w:pPr>
              <w:pStyle w:val="null3"/>
              <w:jc w:val="both"/>
            </w:pPr>
            <w:r>
              <w:rPr/>
              <w:t>评委根据投标人提供的自2021年1月1日起至本项目投标截至时间止，由自身完成的办公信息化运维服务的用户反馈意见进行评分，每提供一份项目优质/满意/90分以上/好/优秀等服务评价意见的得1分，满分3分，投标人须同时提供项目合同和满意度证明材料复印件，未提供者不得分。（同一单位或其使用部门出具的满意度证明材料不重复得分。业绩、满意度情况提供同一项目的不重复得分。）</w:t>
            </w:r>
          </w:p>
        </w:tc>
      </w:tr>
      <w:tr>
        <w:tc>
          <w:tcPr>
            <w:tcW w:type="dxa" w:w="3322"/>
          </w:tcPr>
          <w:p>
            <w:pPr>
              <w:pStyle w:val="null3"/>
              <w:jc w:val="both"/>
            </w:pPr>
            <w:r>
              <w:rPr/>
              <w:t>软件著作权证书</w:t>
            </w:r>
          </w:p>
        </w:tc>
        <w:tc>
          <w:tcPr>
            <w:tcW w:type="dxa" w:w="831"/>
          </w:tcPr>
          <w:p>
            <w:pPr>
              <w:pStyle w:val="null3"/>
              <w:jc w:val="right"/>
            </w:pPr>
            <w:r>
              <w:rPr/>
              <w:t>3.0000</w:t>
            </w:r>
          </w:p>
        </w:tc>
        <w:tc>
          <w:tcPr>
            <w:tcW w:type="dxa" w:w="4153"/>
          </w:tcPr>
          <w:p>
            <w:pPr>
              <w:pStyle w:val="null3"/>
              <w:jc w:val="both"/>
            </w:pPr>
            <w:r>
              <w:rPr/>
              <w:t>评委根据投标人提供的自2021年1月1日起至本项目投标截至时间止，具有信息化建设、运维服务等相关的计算机软件著作权登记证书的，每提供1份软件著作权登记证书复印件的得1分，满分3分。</w:t>
            </w:r>
          </w:p>
        </w:tc>
      </w:tr>
      <w:tr>
        <w:tc>
          <w:tcPr>
            <w:tcW w:type="dxa" w:w="3322"/>
          </w:tcPr>
          <w:p>
            <w:pPr>
              <w:pStyle w:val="null3"/>
              <w:jc w:val="both"/>
            </w:pPr>
            <w:r>
              <w:rPr/>
              <w:t>项目经理</w:t>
            </w:r>
          </w:p>
        </w:tc>
        <w:tc>
          <w:tcPr>
            <w:tcW w:type="dxa" w:w="831"/>
          </w:tcPr>
          <w:p>
            <w:pPr>
              <w:pStyle w:val="null3"/>
              <w:jc w:val="right"/>
            </w:pPr>
            <w:r>
              <w:rPr/>
              <w:t>3.0000</w:t>
            </w:r>
          </w:p>
        </w:tc>
        <w:tc>
          <w:tcPr>
            <w:tcW w:type="dxa" w:w="4153"/>
          </w:tcPr>
          <w:p>
            <w:pPr>
              <w:pStyle w:val="null3"/>
              <w:jc w:val="both"/>
            </w:pPr>
            <w:r>
              <w:rPr/>
              <w:t>投标人拟派出的运维服务团队的项目经理具有中华人民共和国工业和信息化部（或原信息产业部）或中华人民共和国人力资源和社会保障部（或原国家人事部）颁发的信息系统项目管理师证书的，每一人得1分，满分3分。投标人须提供为其缴纳的至投标文件截止时间止近六个月内任一个月（不含提交投标文件截止时间当月）的社保证明材料和证书复印件。</w:t>
            </w:r>
          </w:p>
        </w:tc>
      </w:tr>
      <w:tr>
        <w:tc>
          <w:tcPr>
            <w:tcW w:type="dxa" w:w="3322"/>
          </w:tcPr>
          <w:p>
            <w:pPr>
              <w:pStyle w:val="null3"/>
              <w:jc w:val="both"/>
            </w:pPr>
            <w:r>
              <w:rPr/>
              <w:t>运维服务团队成员（同一人具有不同证书的不重复得分）</w:t>
            </w:r>
          </w:p>
        </w:tc>
        <w:tc>
          <w:tcPr>
            <w:tcW w:type="dxa" w:w="831"/>
          </w:tcPr>
          <w:p>
            <w:pPr>
              <w:pStyle w:val="null3"/>
              <w:jc w:val="right"/>
            </w:pPr>
            <w:r>
              <w:rPr/>
              <w:t>2.0000</w:t>
            </w:r>
          </w:p>
        </w:tc>
        <w:tc>
          <w:tcPr>
            <w:tcW w:type="dxa" w:w="4153"/>
          </w:tcPr>
          <w:p>
            <w:pPr>
              <w:pStyle w:val="null3"/>
              <w:jc w:val="both"/>
            </w:pPr>
            <w:r>
              <w:rPr/>
              <w:t>投标人拟派出的运维服务团队成员（除项目经理外）中具有中华人民共和国工业和信息化部（或原信息产业部）或中华人民共和国人力资源和社会保障部（或原国家人事部）颁发的网络工程师证书的，每一人得1分，满分2分。投标人须提供为其缴纳的至投标文件截止时间止近六个月内任一个月（不含提交投标文件截止时间当月）的社保证明材料和证书复印件。</w:t>
            </w:r>
          </w:p>
        </w:tc>
      </w:tr>
      <w:tr>
        <w:tc>
          <w:tcPr>
            <w:tcW w:type="dxa" w:w="3322"/>
          </w:tcPr>
          <w:p>
            <w:pPr>
              <w:pStyle w:val="null3"/>
              <w:jc w:val="both"/>
            </w:pPr>
            <w:r>
              <w:rPr/>
              <w:t>运维服务团队成员（同一人具有不同证书的不重复得分）</w:t>
            </w:r>
          </w:p>
        </w:tc>
        <w:tc>
          <w:tcPr>
            <w:tcW w:type="dxa" w:w="831"/>
          </w:tcPr>
          <w:p>
            <w:pPr>
              <w:pStyle w:val="null3"/>
              <w:jc w:val="right"/>
            </w:pPr>
            <w:r>
              <w:rPr/>
              <w:t>1.0000</w:t>
            </w:r>
          </w:p>
        </w:tc>
        <w:tc>
          <w:tcPr>
            <w:tcW w:type="dxa" w:w="4153"/>
          </w:tcPr>
          <w:p>
            <w:pPr>
              <w:pStyle w:val="null3"/>
              <w:jc w:val="both"/>
            </w:pPr>
            <w:r>
              <w:rPr/>
              <w:t>投标人拟派出的运维服务团队成员（除项目经理外）中具有国家行政主管部门颁发电子工程专业中级工程师及以上证书，每提供1人得1分，满分1分。投标人须提供为其缴纳的至投标文件截止时间止近六个月内任一个月（不含提交投标文件截止时间当月）的社保证明材料和证书复印件。</w:t>
            </w:r>
          </w:p>
        </w:tc>
      </w:tr>
    </w:tbl>
    <w:p>
      <w:pPr>
        <w:pStyle w:val="null3"/>
        <w:jc w:val="both"/>
      </w:pPr>
      <w:r>
        <w:rPr/>
        <w:t>※除本章第6.3条第（3）款规定情形和落实政府采购政策需进行的价格扣除情形外，不能对投标人的投标报价进行任何调整。</w:t>
      </w:r>
    </w:p>
    <w:p>
      <w:pPr>
        <w:pStyle w:val="null3"/>
        <w:jc w:val="both"/>
      </w:pPr>
      <w:r>
        <w:rPr/>
        <w:t>（3）中标候选人排列规则顺序如下：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jc w:val="both"/>
      </w:pPr>
      <w:r>
        <w:rPr/>
        <w:t>采购包3：综合评分法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w:t>
      </w:r>
      <w:r>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t>各项评审因素的设置如下：</w:t>
      </w:r>
    </w:p>
    <w:p>
      <w:pPr>
        <w:pStyle w:val="null3"/>
        <w:jc w:val="both"/>
      </w:pPr>
      <w:r>
        <w:rPr/>
        <w:t>价格项（F1×A1）满分为10.0000分</w:t>
      </w:r>
    </w:p>
    <w:p>
      <w:pPr>
        <w:pStyle w:val="null3"/>
        <w:jc w:val="both"/>
      </w:pPr>
      <w:r>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技术项（F2×A2）满分为77.0000分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技术服务响应情况</w:t>
            </w:r>
          </w:p>
        </w:tc>
        <w:tc>
          <w:tcPr>
            <w:tcW w:type="dxa" w:w="831"/>
          </w:tcPr>
          <w:p>
            <w:pPr>
              <w:pStyle w:val="null3"/>
              <w:jc w:val="right"/>
            </w:pPr>
            <w:r>
              <w:rPr/>
              <w:t>50.0000</w:t>
            </w:r>
          </w:p>
        </w:tc>
        <w:tc>
          <w:tcPr>
            <w:tcW w:type="dxa" w:w="4153"/>
          </w:tcPr>
          <w:p>
            <w:pPr>
              <w:pStyle w:val="null3"/>
              <w:jc w:val="both"/>
            </w:pPr>
            <w:r>
              <w:rPr/>
              <w:t>根据各投标人所投服务对招标文件“第五章招标内容及要求，二、技术和服务要求”中各项技术要求的逐项响应情况并结合相关佐证材料（若有）由评委进行评分：完全满足招标文件要求（共50项）的得50分，其中，技术参数中带以“★”标示的内容（7项）为不允许负偏离的实质性要求，否则按无效投标处理；带“▲”号的评审项（共计3项）每项2分,未带符号条款（共40项）每负偏离一项扣1.1分；正偏离不加分。评委将按照上述评分标准计算投标人的技术指标得分。</w:t>
            </w:r>
          </w:p>
        </w:tc>
      </w:tr>
      <w:tr>
        <w:tc>
          <w:tcPr>
            <w:tcW w:type="dxa" w:w="3322"/>
          </w:tcPr>
          <w:p>
            <w:pPr>
              <w:pStyle w:val="null3"/>
              <w:jc w:val="both"/>
            </w:pPr>
            <w:r>
              <w:rPr/>
              <w:t>服务工具1</w:t>
            </w:r>
          </w:p>
        </w:tc>
        <w:tc>
          <w:tcPr>
            <w:tcW w:type="dxa" w:w="831"/>
          </w:tcPr>
          <w:p>
            <w:pPr>
              <w:pStyle w:val="null3"/>
              <w:jc w:val="right"/>
            </w:pPr>
            <w:r>
              <w:rPr/>
              <w:t>3.0000</w:t>
            </w:r>
          </w:p>
        </w:tc>
        <w:tc>
          <w:tcPr>
            <w:tcW w:type="dxa" w:w="4153"/>
          </w:tcPr>
          <w:p>
            <w:pPr>
              <w:pStyle w:val="null3"/>
              <w:jc w:val="both"/>
            </w:pPr>
            <w:r>
              <w:rPr/>
              <w:t>投标人使用的数据安全扫描工具支持对扫描报告文件在生成时对文件进行唯一识别加密，防止泄露和冒用，一个文档只有一个标识，实现对相关文档的保护，和事后追查审计（提供功能截图证明）。（提供国家认可的第三方检测机构出具的检测报告, 国家认监委可查，检测报告上须体现“CMA” 或“CNAS”标志）的得3分，否则不得分。</w:t>
            </w:r>
          </w:p>
        </w:tc>
      </w:tr>
      <w:tr>
        <w:tc>
          <w:tcPr>
            <w:tcW w:type="dxa" w:w="3322"/>
          </w:tcPr>
          <w:p>
            <w:pPr>
              <w:pStyle w:val="null3"/>
              <w:jc w:val="both"/>
            </w:pPr>
            <w:r>
              <w:rPr/>
              <w:t>服务工具2</w:t>
            </w:r>
          </w:p>
        </w:tc>
        <w:tc>
          <w:tcPr>
            <w:tcW w:type="dxa" w:w="831"/>
          </w:tcPr>
          <w:p>
            <w:pPr>
              <w:pStyle w:val="null3"/>
              <w:jc w:val="right"/>
            </w:pPr>
            <w:r>
              <w:rPr/>
              <w:t>3.0000</w:t>
            </w:r>
          </w:p>
        </w:tc>
        <w:tc>
          <w:tcPr>
            <w:tcW w:type="dxa" w:w="4153"/>
          </w:tcPr>
          <w:p>
            <w:pPr>
              <w:pStyle w:val="null3"/>
              <w:jc w:val="both"/>
            </w:pPr>
            <w:r>
              <w:rPr/>
              <w:t>投标人使用的监测工具：网站挂马检测需要能够精准识别目前主流的挂马方式，支持包括Iframe框架挂马、script挂马、htm文件挂马、JS文件挂马、JS变形加密、body挂马、java的open函数挂马等十余种目前流行的挂马方式以及其他网马检测率需达到98%以上。完全满足以上功能的得3分。投标人须同时提供上述功能截图、技术说明网页截图、提供平台挂马库类别截图以及具有CMA或CNAS标志的检测报告复印件，否则不得分。</w:t>
            </w:r>
          </w:p>
        </w:tc>
      </w:tr>
      <w:tr>
        <w:tc>
          <w:tcPr>
            <w:tcW w:type="dxa" w:w="3322"/>
          </w:tcPr>
          <w:p>
            <w:pPr>
              <w:pStyle w:val="null3"/>
              <w:jc w:val="both"/>
            </w:pPr>
            <w:r>
              <w:rPr/>
              <w:t>服务工具3</w:t>
            </w:r>
          </w:p>
        </w:tc>
        <w:tc>
          <w:tcPr>
            <w:tcW w:type="dxa" w:w="831"/>
          </w:tcPr>
          <w:p>
            <w:pPr>
              <w:pStyle w:val="null3"/>
              <w:jc w:val="right"/>
            </w:pPr>
            <w:r>
              <w:rPr/>
              <w:t>3.0000</w:t>
            </w:r>
          </w:p>
        </w:tc>
        <w:tc>
          <w:tcPr>
            <w:tcW w:type="dxa" w:w="4153"/>
          </w:tcPr>
          <w:p>
            <w:pPr>
              <w:pStyle w:val="null3"/>
              <w:jc w:val="both"/>
            </w:pPr>
            <w:r>
              <w:rPr/>
              <w:t>投标人使用的监测工具：网站监测平台需支持Web漏洞扫描检测基于OWASP Top10标准定义扫描规则，web漏洞库的检测数量不低于450+，同时为保证交付的自动化检测结果的准确性，web漏洞检测的误报率需要低于5%。完全满足以上功能的得3分。投标人须同时提供功能截图、技术说明网页截图，提供平台web漏洞库数量截图以及具有CMA或CNAS标志的检测报告复印件，否则不得分。</w:t>
            </w:r>
          </w:p>
        </w:tc>
      </w:tr>
      <w:tr>
        <w:tc>
          <w:tcPr>
            <w:tcW w:type="dxa" w:w="3322"/>
          </w:tcPr>
          <w:p>
            <w:pPr>
              <w:pStyle w:val="null3"/>
              <w:jc w:val="both"/>
            </w:pPr>
            <w:r>
              <w:rPr/>
              <w:t>服务工具4</w:t>
            </w:r>
          </w:p>
        </w:tc>
        <w:tc>
          <w:tcPr>
            <w:tcW w:type="dxa" w:w="831"/>
          </w:tcPr>
          <w:p>
            <w:pPr>
              <w:pStyle w:val="null3"/>
              <w:jc w:val="right"/>
            </w:pPr>
            <w:r>
              <w:rPr/>
              <w:t>3.0000</w:t>
            </w:r>
          </w:p>
        </w:tc>
        <w:tc>
          <w:tcPr>
            <w:tcW w:type="dxa" w:w="4153"/>
          </w:tcPr>
          <w:p>
            <w:pPr>
              <w:pStyle w:val="null3"/>
              <w:jc w:val="both"/>
            </w:pPr>
            <w:r>
              <w:rPr/>
              <w:t>投标人使用的数据安全扫描工具支持对不同数据库的识别，实现对不同数据库的扫描，利用数据库类型获取技术进行数据库类型识别，提升识别效率，满足不同类型、场景数据扫描、智能识别数据库类型（提供功能截图证明）。（提供国家认可的第三方检测机构出具的检测报告, 国家认监委可查，检测报告上须体现“CMA” 或“CNAS”标志）的得3分，否则不得分。</w:t>
            </w:r>
          </w:p>
        </w:tc>
      </w:tr>
      <w:tr>
        <w:tc>
          <w:tcPr>
            <w:tcW w:type="dxa" w:w="3322"/>
          </w:tcPr>
          <w:p>
            <w:pPr>
              <w:pStyle w:val="null3"/>
              <w:jc w:val="both"/>
            </w:pPr>
            <w:r>
              <w:rPr/>
              <w:t>服务工具5</w:t>
            </w:r>
          </w:p>
        </w:tc>
        <w:tc>
          <w:tcPr>
            <w:tcW w:type="dxa" w:w="831"/>
          </w:tcPr>
          <w:p>
            <w:pPr>
              <w:pStyle w:val="null3"/>
              <w:jc w:val="right"/>
            </w:pPr>
            <w:r>
              <w:rPr/>
              <w:t>3.0000</w:t>
            </w:r>
          </w:p>
        </w:tc>
        <w:tc>
          <w:tcPr>
            <w:tcW w:type="dxa" w:w="4153"/>
          </w:tcPr>
          <w:p>
            <w:pPr>
              <w:pStyle w:val="null3"/>
              <w:jc w:val="both"/>
            </w:pPr>
            <w:r>
              <w:rPr/>
              <w:t>投标人使用的数据安全管理平台工具，平台基于联动阻断和旁路阻断的处置闭环能力。旁路阻断效率&gt;=95%，支持不同方式的阻断策略配置，包括但不限于威胁情报、地域、时间等，支持在主机针对不同的事件等级、攻击源 IP 等主机响应策 略针对失陷主机进行隔离（提供功能截图证明）。（提供国家认可的第三方检测机构出具的检测报告, 国家认监委可查，检测报告上须体现“CMA” 或“CNAS”标志）的得3分，否则不得分。</w:t>
            </w:r>
          </w:p>
        </w:tc>
      </w:tr>
      <w:tr>
        <w:tc>
          <w:tcPr>
            <w:tcW w:type="dxa" w:w="3322"/>
          </w:tcPr>
          <w:p>
            <w:pPr>
              <w:pStyle w:val="null3"/>
              <w:jc w:val="both"/>
            </w:pPr>
            <w:r>
              <w:rPr/>
              <w:t>服务工具6</w:t>
            </w:r>
          </w:p>
        </w:tc>
        <w:tc>
          <w:tcPr>
            <w:tcW w:type="dxa" w:w="831"/>
          </w:tcPr>
          <w:p>
            <w:pPr>
              <w:pStyle w:val="null3"/>
              <w:jc w:val="right"/>
            </w:pPr>
            <w:r>
              <w:rPr/>
              <w:t>3.0000</w:t>
            </w:r>
          </w:p>
        </w:tc>
        <w:tc>
          <w:tcPr>
            <w:tcW w:type="dxa" w:w="4153"/>
          </w:tcPr>
          <w:p>
            <w:pPr>
              <w:pStyle w:val="null3"/>
              <w:jc w:val="both"/>
            </w:pPr>
            <w:r>
              <w:rPr/>
              <w:t>投标人使用的数据安全管理平台工具，平台的大屏可视化功能，支持实时展示“信息侦察，攻击入侵、命令控制、横向渗透、数据外泄、痕迹清理”等入侵行为的分析（提供功能截图证明）（提供国家认可的第三方检测机构出具的检测报告,国家认监委可查，检测报告上须体现“CMA”或“CNAS”标志）的得3分，否则不得分。</w:t>
            </w:r>
          </w:p>
        </w:tc>
      </w:tr>
      <w:tr>
        <w:tc>
          <w:tcPr>
            <w:tcW w:type="dxa" w:w="3322"/>
          </w:tcPr>
          <w:p>
            <w:pPr>
              <w:pStyle w:val="null3"/>
              <w:jc w:val="both"/>
            </w:pPr>
            <w:r>
              <w:rPr/>
              <w:t>视频工具演示1【演示环节总时长不超过15分钟】</w:t>
            </w:r>
          </w:p>
        </w:tc>
        <w:tc>
          <w:tcPr>
            <w:tcW w:type="dxa" w:w="831"/>
          </w:tcPr>
          <w:p>
            <w:pPr>
              <w:pStyle w:val="null3"/>
              <w:jc w:val="right"/>
            </w:pPr>
            <w:r>
              <w:rPr/>
              <w:t>3.0000</w:t>
            </w:r>
          </w:p>
        </w:tc>
        <w:tc>
          <w:tcPr>
            <w:tcW w:type="dxa" w:w="4153"/>
          </w:tcPr>
          <w:p>
            <w:pPr>
              <w:pStyle w:val="null3"/>
              <w:jc w:val="both"/>
            </w:pPr>
            <w:r>
              <w:rPr/>
              <w:t>投标人使用的数据安全管理工具，具有平台的资产发现功能，支持通过扫描和被动流量等多种方式发现隐蔽资产、风险资产等，支持失陷资产的快速发现，实时判定成功攻击，精准定位失陷主机功能。投标人需提供上述功能演示视频，未提供本项视频演示或提供的U盘视频无法播放或U盘损坏或演示视频内容不相符的本项不得分。（视频存于U盘送达开标现场，并由投标人进行演示）（同时提供国家认可的第三方检测机构出具的检测报告, 国家认监委可查，检测报告上须体现“CMA”或“CNAS”标志）的得3分，否则不得分。</w:t>
            </w:r>
          </w:p>
        </w:tc>
      </w:tr>
      <w:tr>
        <w:tc>
          <w:tcPr>
            <w:tcW w:type="dxa" w:w="3322"/>
          </w:tcPr>
          <w:p>
            <w:pPr>
              <w:pStyle w:val="null3"/>
              <w:jc w:val="both"/>
            </w:pPr>
            <w:r>
              <w:rPr/>
              <w:t>视频工具演示2【演示环节总时长不超过15分钟】</w:t>
            </w:r>
          </w:p>
        </w:tc>
        <w:tc>
          <w:tcPr>
            <w:tcW w:type="dxa" w:w="831"/>
          </w:tcPr>
          <w:p>
            <w:pPr>
              <w:pStyle w:val="null3"/>
              <w:jc w:val="right"/>
            </w:pPr>
            <w:r>
              <w:rPr/>
              <w:t>3.0000</w:t>
            </w:r>
          </w:p>
        </w:tc>
        <w:tc>
          <w:tcPr>
            <w:tcW w:type="dxa" w:w="4153"/>
          </w:tcPr>
          <w:p>
            <w:pPr>
              <w:pStyle w:val="null3"/>
              <w:jc w:val="both"/>
            </w:pPr>
            <w:r>
              <w:rPr/>
              <w:t>投标人使用的数据安全管理工具，具有平台的事件分析功能，支持源IP、源端口、目的IP、目的端口、事件类型的统计分析。支持攻击告警趋势，支持多纬度的事件分析，并支持事件标签快速查询，攻击事件支持基于 ATT&amp;CK 攻击路径标记功能。投标人需提供上述功能演示视频，未提供本项视频演示或提供的U盘视频无法播放或U盘损坏或演示视频内容不相符的本项不得分。（视频存于U盘送达开标现场，并由投标人进行演示）（同时提供国家认可的第三方检测机构出具的检测报告, 国家认监委可查，检测报告上须体现“CMA”或“CNAS”标志）的得3分，否则不得分。</w:t>
            </w:r>
          </w:p>
        </w:tc>
      </w:tr>
      <w:tr>
        <w:tc>
          <w:tcPr>
            <w:tcW w:type="dxa" w:w="3322"/>
          </w:tcPr>
          <w:p>
            <w:pPr>
              <w:pStyle w:val="null3"/>
              <w:jc w:val="both"/>
            </w:pPr>
            <w:r>
              <w:rPr/>
              <w:t>安全运维服务方案</w:t>
            </w:r>
          </w:p>
        </w:tc>
        <w:tc>
          <w:tcPr>
            <w:tcW w:type="dxa" w:w="831"/>
          </w:tcPr>
          <w:p>
            <w:pPr>
              <w:pStyle w:val="null3"/>
              <w:jc w:val="right"/>
            </w:pPr>
            <w:r>
              <w:rPr/>
              <w:t>3.0000</w:t>
            </w:r>
          </w:p>
        </w:tc>
        <w:tc>
          <w:tcPr>
            <w:tcW w:type="dxa" w:w="4153"/>
          </w:tcPr>
          <w:p>
            <w:pPr>
              <w:pStyle w:val="null3"/>
              <w:jc w:val="both"/>
            </w:pPr>
            <w:r>
              <w:rPr/>
              <w:t>评委根据投标人对福建省交通综合行政执法业务应用软件三期项目系统的安全运维服务方案进行评审，服务方案包括但不限于对网络环境、使用群体的描述，对软件日常管理中安全管理，对安全事件的处置，对等保咨询服务的阐述，应急预案等内容。方案包含上述内容，且内容详实，符合项目实际情况的得3分；方案包含上述内容但不具体，基本符合项目实际情况的得2分；方案不完全包含上述内容，部分符合项目实际情况的得1分；未提供的不得分。</w:t>
            </w:r>
          </w:p>
        </w:tc>
      </w:tr>
    </w:tbl>
    <w:p>
      <w:pPr>
        <w:pStyle w:val="null3"/>
        <w:jc w:val="both"/>
      </w:pPr>
      <w:r>
        <w:rPr/>
        <w:t>商务项（F3×A3）满分为13.0000分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业绩</w:t>
            </w:r>
          </w:p>
        </w:tc>
        <w:tc>
          <w:tcPr>
            <w:tcW w:type="dxa" w:w="831"/>
          </w:tcPr>
          <w:p>
            <w:pPr>
              <w:pStyle w:val="null3"/>
              <w:jc w:val="right"/>
            </w:pPr>
            <w:r>
              <w:rPr/>
              <w:t>3.0000</w:t>
            </w:r>
          </w:p>
        </w:tc>
        <w:tc>
          <w:tcPr>
            <w:tcW w:type="dxa" w:w="4153"/>
          </w:tcPr>
          <w:p>
            <w:pPr>
              <w:pStyle w:val="null3"/>
              <w:jc w:val="both"/>
            </w:pPr>
            <w:r>
              <w:rPr/>
              <w:t>评委根据投标人提供自2021年1月1日起至本项目投标截止日期止(以合同签订日期为准)由投标人独立完成的网络与信息系统安全服务类项目（内容须包含等保服务和系统安全运维服务）进行评分，每提供1份完整业绩证明材料的得1分，满分3分。 注：完整的业绩证明材料同时包含中标（成交）公告(提供相关网站中标（成交）公告的下载网页并注明网址)、中标（成交）通知书复印件、采购合同文本复印件，以及能够证明该业绩项目已经采购人验收合格的相关证明文件或用户评价复印件，未同时提供以上证明材料的本项不得分。</w:t>
            </w:r>
          </w:p>
        </w:tc>
      </w:tr>
      <w:tr>
        <w:tc>
          <w:tcPr>
            <w:tcW w:type="dxa" w:w="3322"/>
          </w:tcPr>
          <w:p>
            <w:pPr>
              <w:pStyle w:val="null3"/>
              <w:jc w:val="both"/>
            </w:pPr>
            <w:r>
              <w:rPr/>
              <w:t>服务团队成员（同一人具有不同证书的不重复得分，不同评分项中同一人不重复得分。）</w:t>
            </w:r>
          </w:p>
        </w:tc>
        <w:tc>
          <w:tcPr>
            <w:tcW w:type="dxa" w:w="831"/>
          </w:tcPr>
          <w:p>
            <w:pPr>
              <w:pStyle w:val="null3"/>
              <w:jc w:val="right"/>
            </w:pPr>
            <w:r>
              <w:rPr/>
              <w:t>3.0000</w:t>
            </w:r>
          </w:p>
        </w:tc>
        <w:tc>
          <w:tcPr>
            <w:tcW w:type="dxa" w:w="4153"/>
          </w:tcPr>
          <w:p>
            <w:pPr>
              <w:pStyle w:val="null3"/>
              <w:jc w:val="both"/>
            </w:pPr>
            <w:r>
              <w:rPr/>
              <w:t>投标人拟投入本项目的项目经理具有信息系统项目管理师、系统架构设计师、系统分析师证书的，每提供1个得1分，满分3分。提供证书复印件及报价人为该人员缴纳的近6个月内（任意1个月）的社保证明材料并加盖报价人公章</w:t>
            </w:r>
          </w:p>
        </w:tc>
      </w:tr>
      <w:tr>
        <w:tc>
          <w:tcPr>
            <w:tcW w:type="dxa" w:w="3322"/>
          </w:tcPr>
          <w:p>
            <w:pPr>
              <w:pStyle w:val="null3"/>
              <w:jc w:val="both"/>
            </w:pPr>
            <w:r>
              <w:rPr/>
              <w:t>服务团队成员（同一人具有不同证书的不重复得分，不同评分项中同一人不重复得分。）</w:t>
            </w:r>
          </w:p>
        </w:tc>
        <w:tc>
          <w:tcPr>
            <w:tcW w:type="dxa" w:w="831"/>
          </w:tcPr>
          <w:p>
            <w:pPr>
              <w:pStyle w:val="null3"/>
              <w:jc w:val="right"/>
            </w:pPr>
            <w:r>
              <w:rPr/>
              <w:t>2.0000</w:t>
            </w:r>
          </w:p>
        </w:tc>
        <w:tc>
          <w:tcPr>
            <w:tcW w:type="dxa" w:w="4153"/>
          </w:tcPr>
          <w:p>
            <w:pPr>
              <w:pStyle w:val="null3"/>
              <w:jc w:val="both"/>
            </w:pPr>
            <w:r>
              <w:rPr/>
              <w:t>投标人拟拟投入本项目的安全服务人员具有CISP和CISAW（认证方向：风险管理（专业级））证书的，每提供1个得1分，满分2分。提供证书复印件及投标人为该人员缴纳的近6个月内（任意1个月）的社保证明材料并加盖报价人公章</w:t>
            </w:r>
          </w:p>
        </w:tc>
      </w:tr>
      <w:tr>
        <w:tc>
          <w:tcPr>
            <w:tcW w:type="dxa" w:w="3322"/>
          </w:tcPr>
          <w:p>
            <w:pPr>
              <w:pStyle w:val="null3"/>
              <w:jc w:val="both"/>
            </w:pPr>
            <w:r>
              <w:rPr/>
              <w:t>企业安全运维能力</w:t>
            </w:r>
          </w:p>
        </w:tc>
        <w:tc>
          <w:tcPr>
            <w:tcW w:type="dxa" w:w="831"/>
          </w:tcPr>
          <w:p>
            <w:pPr>
              <w:pStyle w:val="null3"/>
              <w:jc w:val="right"/>
            </w:pPr>
            <w:r>
              <w:rPr/>
              <w:t>2.0000</w:t>
            </w:r>
          </w:p>
        </w:tc>
        <w:tc>
          <w:tcPr>
            <w:tcW w:type="dxa" w:w="4153"/>
          </w:tcPr>
          <w:p>
            <w:pPr>
              <w:pStyle w:val="null3"/>
              <w:jc w:val="both"/>
            </w:pPr>
            <w:r>
              <w:rPr/>
              <w:t>投标人具备有效期内的信息系统安全集成服务资质证书、信息系统安全运维服务资质证书，每具备1类证书的得1分，满分2分。（需提供有效期内的证书复印件，并加盖投标人公章，否则不得分）</w:t>
            </w:r>
          </w:p>
        </w:tc>
      </w:tr>
      <w:tr>
        <w:tc>
          <w:tcPr>
            <w:tcW w:type="dxa" w:w="3322"/>
          </w:tcPr>
          <w:p>
            <w:pPr>
              <w:pStyle w:val="null3"/>
              <w:jc w:val="both"/>
            </w:pPr>
            <w:r>
              <w:rPr/>
              <w:t>自研能力</w:t>
            </w:r>
          </w:p>
        </w:tc>
        <w:tc>
          <w:tcPr>
            <w:tcW w:type="dxa" w:w="831"/>
          </w:tcPr>
          <w:p>
            <w:pPr>
              <w:pStyle w:val="null3"/>
              <w:jc w:val="right"/>
            </w:pPr>
            <w:r>
              <w:rPr/>
              <w:t>3.0000</w:t>
            </w:r>
          </w:p>
        </w:tc>
        <w:tc>
          <w:tcPr>
            <w:tcW w:type="dxa" w:w="4153"/>
          </w:tcPr>
          <w:p>
            <w:pPr>
              <w:pStyle w:val="null3"/>
              <w:jc w:val="both"/>
            </w:pPr>
            <w:r>
              <w:rPr/>
              <w:t>投标人提供与资产管理、网络安全风险防控、IT安全运维管理相关的自主知识产权技术软件系统并具备计算机软件著作权登记证书，每提供一本不同的证书得1分，满分3分。应提供有效证书复印件并加盖报价人公章。</w:t>
            </w:r>
          </w:p>
        </w:tc>
      </w:tr>
    </w:tbl>
    <w:p>
      <w:pPr>
        <w:pStyle w:val="null3"/>
        <w:jc w:val="both"/>
      </w:pPr>
      <w:r>
        <w:rPr/>
        <w:t>※除本章第6.3条第（3）款规定情形和落实政府采购政策需进行的价格扣除情形外，不能对投标人的投标报价进行任何调整。</w:t>
      </w:r>
    </w:p>
    <w:p>
      <w:pPr>
        <w:pStyle w:val="null3"/>
        <w:jc w:val="both"/>
      </w:pPr>
      <w:r>
        <w:rPr/>
        <w:t>（3）中标候选人排列规则顺序如下：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r>
        <w:rPr/>
        <w:t>无</w:t>
      </w:r>
    </w:p>
    <w:p>
      <w:pPr>
        <w:pStyle w:val="null3"/>
      </w:pPr>
      <w:r>
        <w:rPr/>
        <w:t xml:space="preserve"> </w:t>
        <w:br/>
        <w:br w:type="page"/>
      </w:r>
    </w:p>
    <w:p>
      <w:pPr>
        <w:pStyle w:val="null3"/>
        <w:jc w:val="center"/>
        <w:outlineLvl w:val="1"/>
      </w:pPr>
      <w:r>
        <w:rPr>
          <w:sz w:val="36"/>
          <w:b/>
        </w:rPr>
        <w:t>第五章 招标内容及要求</w:t>
      </w:r>
    </w:p>
    <w:p>
      <w:pPr>
        <w:pStyle w:val="null3"/>
        <w:jc w:val="both"/>
        <w:outlineLvl w:val="2"/>
      </w:pPr>
      <w:r>
        <w:rPr>
          <w:sz w:val="28"/>
          <w:b/>
        </w:rPr>
        <w:t>一、项目概况（采购标的）</w:t>
      </w:r>
    </w:p>
    <w:p>
      <w:pPr>
        <w:pStyle w:val="null3"/>
        <w:ind w:firstLine="480"/>
        <w:jc w:val="both"/>
      </w:pPr>
      <w:r>
        <w:rPr>
          <w:rFonts w:ascii="仿宋" w:hAnsi="仿宋" w:cs="仿宋" w:eastAsia="仿宋"/>
          <w:sz w:val="24"/>
          <w:b/>
        </w:rPr>
        <w:t>采购包</w:t>
      </w:r>
      <w:r>
        <w:rPr>
          <w:rFonts w:ascii="仿宋" w:hAnsi="仿宋" w:cs="仿宋" w:eastAsia="仿宋"/>
          <w:sz w:val="24"/>
          <w:b/>
        </w:rPr>
        <w:t>1：2025年执法系统运维服务</w:t>
      </w:r>
    </w:p>
    <w:p>
      <w:pPr>
        <w:pStyle w:val="null3"/>
        <w:ind w:left="420" w:firstLine="480"/>
        <w:jc w:val="both"/>
      </w:pPr>
      <w:r>
        <w:rPr>
          <w:rFonts w:ascii="仿宋" w:hAnsi="仿宋" w:cs="仿宋" w:eastAsia="仿宋"/>
          <w:sz w:val="24"/>
          <w:b/>
        </w:rPr>
        <w:t>项目背景</w:t>
      </w:r>
    </w:p>
    <w:p>
      <w:pPr>
        <w:pStyle w:val="null3"/>
        <w:ind w:firstLine="420"/>
        <w:jc w:val="both"/>
      </w:pPr>
      <w:r>
        <w:rPr>
          <w:rFonts w:ascii="仿宋" w:hAnsi="仿宋" w:cs="仿宋" w:eastAsia="仿宋"/>
          <w:sz w:val="24"/>
        </w:rPr>
        <w:t>目前，由福建省交通运输综合服务保障中心运行管理的业务应用软件，包括福建省交通综合行政执法信息系统一期、二期、福建省综交通合行政执法业务应用软件三期项目、福建省交通执法三级联网联动系统等系统。计划在</w:t>
      </w:r>
      <w:r>
        <w:rPr>
          <w:rFonts w:ascii="仿宋" w:hAnsi="仿宋" w:cs="仿宋" w:eastAsia="仿宋"/>
          <w:sz w:val="24"/>
        </w:rPr>
        <w:t>2025年对</w:t>
      </w:r>
      <w:r>
        <w:rPr>
          <w:rFonts w:ascii="仿宋" w:hAnsi="仿宋" w:cs="仿宋" w:eastAsia="仿宋"/>
          <w:sz w:val="24"/>
        </w:rPr>
        <w:t>上述</w:t>
      </w:r>
      <w:r>
        <w:rPr>
          <w:rFonts w:ascii="仿宋" w:hAnsi="仿宋" w:cs="仿宋" w:eastAsia="仿宋"/>
          <w:sz w:val="24"/>
        </w:rPr>
        <w:t>系统中的部分功能模块继续进行运维保障。</w:t>
      </w:r>
    </w:p>
    <w:p>
      <w:pPr>
        <w:pStyle w:val="null3"/>
        <w:ind w:firstLine="420"/>
        <w:jc w:val="center"/>
      </w:pPr>
      <w:r>
        <w:rPr>
          <w:rFonts w:ascii="仿宋" w:hAnsi="仿宋" w:cs="仿宋" w:eastAsia="仿宋"/>
          <w:sz w:val="24"/>
          <w:b/>
        </w:rPr>
        <w:t>2025年执法系统运维服务</w:t>
      </w:r>
      <w:r>
        <w:rPr>
          <w:rFonts w:ascii="仿宋" w:hAnsi="仿宋" w:cs="仿宋" w:eastAsia="仿宋"/>
          <w:sz w:val="24"/>
          <w:b/>
        </w:rPr>
        <w:t>概算</w:t>
      </w:r>
      <w:r>
        <w:rPr>
          <w:rFonts w:ascii="仿宋" w:hAnsi="仿宋" w:cs="仿宋" w:eastAsia="仿宋"/>
          <w:sz w:val="24"/>
          <w:b/>
        </w:rPr>
        <w:t>明细表</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1384"/>
        <w:gridCol w:w="1384"/>
        <w:gridCol w:w="1384"/>
        <w:gridCol w:w="1384"/>
        <w:gridCol w:w="1384"/>
        <w:gridCol w:w="1384"/>
      </w:tblGrid>
      <w:tr>
        <w:tc>
          <w:tcPr>
            <w:tcW w:type="dxa" w:w="13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序号</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分项名称</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数量</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单价（万元）</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总价（万元）</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备注</w:t>
            </w: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福建省交通综合行政执法信息系统一期运维费</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1项</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10.1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10.1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 w:hAnsi="仿宋" w:cs="仿宋" w:eastAsia="仿宋"/>
                <w:sz w:val="19"/>
              </w:rPr>
              <w:t>福建省交通综合行政执法信息系统一期共有</w:t>
            </w:r>
            <w:r>
              <w:rPr>
                <w:rFonts w:ascii="仿宋" w:hAnsi="仿宋" w:cs="仿宋" w:eastAsia="仿宋"/>
                <w:sz w:val="19"/>
              </w:rPr>
              <w:t>77个功能点，拟保留54个。具体详见《交通执法信息系统功能点（拟保留和停止运维）汇总》1-77项，单个功能点计费以投标人一期运维的投标报价除以54作为功能点计费单价；本项目采用按实结算，以单个功能点的价格乘以保留功能点数。</w:t>
            </w: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福建省交通综合行政执法信息系统二期运维费</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1项</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10.</w:t>
            </w:r>
            <w:r>
              <w:rPr>
                <w:rFonts w:ascii="仿宋" w:hAnsi="仿宋" w:cs="仿宋" w:eastAsia="仿宋"/>
                <w:sz w:val="24"/>
              </w:rPr>
              <w:t>6</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10.</w:t>
            </w:r>
            <w:r>
              <w:rPr>
                <w:rFonts w:ascii="仿宋" w:hAnsi="仿宋" w:cs="仿宋" w:eastAsia="仿宋"/>
                <w:sz w:val="24"/>
              </w:rPr>
              <w:t>6</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 w:hAnsi="仿宋" w:cs="仿宋" w:eastAsia="仿宋"/>
                <w:sz w:val="19"/>
              </w:rPr>
              <w:t>福建省交通综合行政执法信息系统二期共有</w:t>
            </w:r>
            <w:r>
              <w:rPr>
                <w:rFonts w:ascii="仿宋" w:hAnsi="仿宋" w:cs="仿宋" w:eastAsia="仿宋"/>
                <w:sz w:val="19"/>
              </w:rPr>
              <w:t>181个功能点，拟保留56个。具体详见《交通执法信息系统功能点（拟保留和停止运维）汇总》78-258项，单个功能点计费以投标人一期运维的投标报价除以56作为功能点计费单价；本项目采用按实结算，以单个功能点的价格乘以保留功能点数。</w:t>
            </w: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福建省综交通合行政执法业务应用软件三期运维费</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1项</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14.</w:t>
            </w:r>
            <w:r>
              <w:rPr>
                <w:rFonts w:ascii="仿宋" w:hAnsi="仿宋" w:cs="仿宋" w:eastAsia="仿宋"/>
                <w:sz w:val="24"/>
              </w:rPr>
              <w:t>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14.</w:t>
            </w:r>
            <w:r>
              <w:rPr>
                <w:rFonts w:ascii="仿宋" w:hAnsi="仿宋" w:cs="仿宋" w:eastAsia="仿宋"/>
                <w:sz w:val="24"/>
              </w:rPr>
              <w:t>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 w:hAnsi="仿宋" w:cs="仿宋" w:eastAsia="仿宋"/>
                <w:sz w:val="19"/>
              </w:rPr>
              <w:t>福建省交通综合行政执法信息系统三期共有</w:t>
            </w:r>
            <w:r>
              <w:rPr>
                <w:rFonts w:ascii="仿宋" w:hAnsi="仿宋" w:cs="仿宋" w:eastAsia="仿宋"/>
                <w:sz w:val="19"/>
              </w:rPr>
              <w:t>70个功能点，拟保留28个。具体详见《交通执法信息系统功能点（拟保留和停止运维）汇总》259-337项，单个功能点计费以投标人一期运维的投标报价除以28作为功能点计费单价；本项目采用按实结算，以单个功能点的价格乘以保留功能点数。</w:t>
            </w: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部治超平台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1项</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5</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部执法案件数据交换平台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1项</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6</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闽执法平台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1项</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7</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厅</w:t>
            </w:r>
            <w:r>
              <w:rPr>
                <w:rFonts w:ascii="仿宋" w:hAnsi="仿宋" w:cs="仿宋" w:eastAsia="仿宋"/>
                <w:sz w:val="24"/>
              </w:rPr>
              <w:t>TOCC可视化大屏平台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1项</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 w:hAnsi="仿宋" w:cs="仿宋" w:eastAsia="仿宋"/>
          <w:sz w:val="24"/>
          <w:b/>
        </w:rPr>
        <w:t>采购包</w:t>
      </w:r>
      <w:r>
        <w:rPr>
          <w:rFonts w:ascii="仿宋" w:hAnsi="仿宋" w:cs="仿宋" w:eastAsia="仿宋"/>
          <w:sz w:val="24"/>
          <w:b/>
        </w:rPr>
        <w:t>2：2025年办公信息化运维服务</w:t>
      </w:r>
    </w:p>
    <w:p>
      <w:pPr>
        <w:pStyle w:val="null3"/>
        <w:ind w:left="420" w:firstLine="480"/>
        <w:jc w:val="both"/>
      </w:pPr>
      <w:r>
        <w:rPr>
          <w:rFonts w:ascii="仿宋" w:hAnsi="仿宋" w:cs="仿宋" w:eastAsia="仿宋"/>
          <w:sz w:val="24"/>
          <w:b/>
        </w:rPr>
        <w:t>项目背景</w:t>
      </w:r>
    </w:p>
    <w:p>
      <w:pPr>
        <w:pStyle w:val="null3"/>
        <w:ind w:firstLine="480"/>
        <w:jc w:val="left"/>
      </w:pPr>
      <w:r>
        <w:rPr>
          <w:rFonts w:ascii="仿宋" w:hAnsi="仿宋" w:cs="仿宋" w:eastAsia="仿宋"/>
          <w:sz w:val="24"/>
        </w:rPr>
        <w:t>本次运维范围包括中心办公场所内的办公计算机、电话、网络；中心机房、会议室信息化设备运行管理；以及中心日常办公涉及的</w:t>
      </w:r>
      <w:r>
        <w:rPr>
          <w:rFonts w:ascii="仿宋" w:hAnsi="仿宋" w:cs="仿宋" w:eastAsia="仿宋"/>
          <w:sz w:val="24"/>
        </w:rPr>
        <w:t>OA系统、办公软件、中心网站等软件系统。</w:t>
      </w:r>
    </w:p>
    <w:p>
      <w:pPr>
        <w:pStyle w:val="null3"/>
        <w:ind w:firstLine="420"/>
        <w:jc w:val="both"/>
      </w:pPr>
      <w:r>
        <w:rPr>
          <w:rFonts w:ascii="仿宋" w:hAnsi="仿宋" w:cs="仿宋" w:eastAsia="仿宋"/>
          <w:sz w:val="24"/>
        </w:rPr>
        <w:t>为了确保福建省交通运输综合保障服务中心</w:t>
      </w:r>
      <w:r>
        <w:rPr>
          <w:rFonts w:ascii="仿宋" w:hAnsi="仿宋" w:cs="仿宋" w:eastAsia="仿宋"/>
          <w:sz w:val="24"/>
        </w:rPr>
        <w:t>IT系统稳定有效的运转，需要富有经验的工程师专门负责系统的日常维护和设备运行情况监控，及时发现问题，解决问题；在系统运行期间，提供完善的技术维保服务，并能提供嵌入式的贴近式服务，在现场提供远程和本地化维护支撑，在整个项目期间对用户提出的紧急或临时的需求快速响应，迅速安排工程师进行需求分析、现场协调、测试直至项目完成。</w:t>
      </w:r>
    </w:p>
    <w:p>
      <w:pPr>
        <w:pStyle w:val="null3"/>
        <w:ind w:firstLine="480"/>
        <w:jc w:val="center"/>
      </w:pPr>
      <w:r>
        <w:rPr>
          <w:rFonts w:ascii="仿宋" w:hAnsi="仿宋" w:cs="仿宋" w:eastAsia="仿宋"/>
          <w:sz w:val="24"/>
          <w:b/>
        </w:rPr>
        <w:t>2025年办公信息化运维服务</w:t>
      </w:r>
      <w:r>
        <w:rPr>
          <w:rFonts w:ascii="仿宋" w:hAnsi="仿宋" w:cs="仿宋" w:eastAsia="仿宋"/>
          <w:sz w:val="24"/>
          <w:b/>
        </w:rPr>
        <w:t>概算</w:t>
      </w:r>
      <w:r>
        <w:rPr>
          <w:rFonts w:ascii="仿宋" w:hAnsi="仿宋" w:cs="仿宋" w:eastAsia="仿宋"/>
          <w:sz w:val="24"/>
          <w:b/>
        </w:rPr>
        <w:t>明细表</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980"/>
        <w:gridCol w:w="2248"/>
        <w:gridCol w:w="3418"/>
        <w:gridCol w:w="1660"/>
      </w:tblGrid>
      <w:tr>
        <w:tc>
          <w:tcPr>
            <w:tcW w:type="dxa" w:w="980"/>
            <w:tcBorders>
              <w:top w:val="double" w:color="000000" w:sz="4"/>
              <w:left w:val="doubl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center"/>
            </w:pPr>
            <w:r>
              <w:rPr>
                <w:rFonts w:ascii="仿宋" w:hAnsi="仿宋" w:cs="仿宋" w:eastAsia="仿宋"/>
                <w:sz w:val="24"/>
                <w:b/>
              </w:rPr>
              <w:t>序号</w:t>
            </w:r>
          </w:p>
        </w:tc>
        <w:tc>
          <w:tcPr>
            <w:tcW w:type="dxa" w:w="2248"/>
            <w:tcBorders>
              <w:top w:val="doub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center"/>
            </w:pPr>
            <w:r>
              <w:rPr>
                <w:rFonts w:ascii="仿宋" w:hAnsi="仿宋" w:cs="仿宋" w:eastAsia="仿宋"/>
                <w:sz w:val="24"/>
                <w:b/>
              </w:rPr>
              <w:t>运维类别</w:t>
            </w:r>
          </w:p>
        </w:tc>
        <w:tc>
          <w:tcPr>
            <w:tcW w:type="dxa" w:w="3418"/>
            <w:tcBorders>
              <w:top w:val="doub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center"/>
            </w:pPr>
            <w:r>
              <w:rPr>
                <w:rFonts w:ascii="仿宋" w:hAnsi="仿宋" w:cs="仿宋" w:eastAsia="仿宋"/>
                <w:sz w:val="24"/>
                <w:b/>
              </w:rPr>
              <w:t>分项名称</w:t>
            </w:r>
          </w:p>
        </w:tc>
        <w:tc>
          <w:tcPr>
            <w:tcW w:type="dxa" w:w="1660"/>
            <w:tcBorders>
              <w:top w:val="double" w:color="000000" w:sz="4"/>
              <w:left w:val="none" w:color="000000" w:sz="4"/>
              <w:bottom w:val="single" w:color="000000" w:sz="4"/>
              <w:right w:val="double" w:color="000000" w:sz="4"/>
            </w:tcBorders>
            <w:shd w:fill="D9D9D9"/>
            <w:tcMar>
              <w:top w:type="dxa" w:w="0"/>
              <w:left w:type="dxa" w:w="105"/>
              <w:bottom w:type="dxa" w:w="0"/>
              <w:right w:type="dxa" w:w="105"/>
            </w:tcMar>
            <w:vAlign w:val="top"/>
          </w:tcPr>
          <w:p>
            <w:pPr>
              <w:pStyle w:val="null3"/>
              <w:ind w:firstLine="380"/>
              <w:jc w:val="center"/>
            </w:pPr>
            <w:r>
              <w:rPr>
                <w:rFonts w:ascii="仿宋" w:hAnsi="仿宋" w:cs="仿宋" w:eastAsia="仿宋"/>
                <w:sz w:val="24"/>
                <w:b/>
              </w:rPr>
              <w:t>概算（万元）</w:t>
            </w:r>
          </w:p>
        </w:tc>
      </w:tr>
      <w:tr>
        <w:tc>
          <w:tcPr>
            <w:tcW w:type="dxa" w:w="98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b/>
              </w:rPr>
              <w:t>1</w:t>
            </w:r>
          </w:p>
        </w:tc>
        <w:tc>
          <w:tcPr>
            <w:tcW w:type="dxa" w:w="2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中心日常信息化运维</w:t>
            </w:r>
          </w:p>
        </w:tc>
        <w:tc>
          <w:tcPr>
            <w:tcW w:type="dxa" w:w="3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中心日常信息化运维</w:t>
            </w:r>
          </w:p>
        </w:tc>
        <w:tc>
          <w:tcPr>
            <w:tcW w:type="dxa" w:w="166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15</w:t>
            </w:r>
          </w:p>
        </w:tc>
      </w:tr>
      <w:tr>
        <w:tc>
          <w:tcPr>
            <w:tcW w:type="dxa" w:w="980"/>
            <w:vMerge w:val="restart"/>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2</w:t>
            </w:r>
          </w:p>
        </w:tc>
        <w:tc>
          <w:tcPr>
            <w:tcW w:type="dxa" w:w="22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中心</w:t>
            </w:r>
            <w:r>
              <w:rPr>
                <w:rFonts w:ascii="仿宋" w:hAnsi="仿宋" w:cs="仿宋" w:eastAsia="仿宋"/>
                <w:sz w:val="24"/>
              </w:rPr>
              <w:t>OA系统日常运维</w:t>
            </w:r>
          </w:p>
        </w:tc>
        <w:tc>
          <w:tcPr>
            <w:tcW w:type="dxa" w:w="3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中心</w:t>
            </w:r>
            <w:r>
              <w:rPr>
                <w:rFonts w:ascii="仿宋" w:hAnsi="仿宋" w:cs="仿宋" w:eastAsia="仿宋"/>
                <w:sz w:val="24"/>
              </w:rPr>
              <w:t>OA系统日常运维</w:t>
            </w:r>
          </w:p>
        </w:tc>
        <w:tc>
          <w:tcPr>
            <w:tcW w:type="dxa" w:w="166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5</w:t>
            </w:r>
          </w:p>
        </w:tc>
      </w:tr>
      <w:tr>
        <w:tc>
          <w:tcPr>
            <w:tcW w:type="dxa" w:w="980"/>
            <w:vMerge/>
            <w:tcBorders>
              <w:top w:val="none" w:color="000000" w:sz="4"/>
              <w:left w:val="double" w:color="000000" w:sz="4"/>
              <w:bottom w:val="single" w:color="000000" w:sz="4"/>
              <w:right w:val="single" w:color="000000" w:sz="4"/>
            </w:tcBorders>
          </w:tcPr>
          <w:p/>
        </w:tc>
        <w:tc>
          <w:tcPr>
            <w:tcW w:type="dxa" w:w="2248"/>
            <w:vMerge/>
            <w:tcBorders>
              <w:top w:val="none" w:color="000000" w:sz="4"/>
              <w:left w:val="none" w:color="000000" w:sz="4"/>
              <w:bottom w:val="single" w:color="000000" w:sz="4"/>
              <w:right w:val="single" w:color="000000" w:sz="4"/>
            </w:tcBorders>
          </w:tcPr>
          <w:p/>
        </w:tc>
        <w:tc>
          <w:tcPr>
            <w:tcW w:type="dxa" w:w="3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一体化协同办公平台软件服务及数据迁移</w:t>
            </w:r>
          </w:p>
        </w:tc>
        <w:tc>
          <w:tcPr>
            <w:tcW w:type="dxa" w:w="166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10</w:t>
            </w:r>
          </w:p>
        </w:tc>
      </w:tr>
      <w:tr>
        <w:tc>
          <w:tcPr>
            <w:tcW w:type="dxa" w:w="980"/>
            <w:vMerge w:val="restart"/>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3</w:t>
            </w:r>
          </w:p>
        </w:tc>
        <w:tc>
          <w:tcPr>
            <w:tcW w:type="dxa" w:w="22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门户网站运维</w:t>
            </w:r>
          </w:p>
        </w:tc>
        <w:tc>
          <w:tcPr>
            <w:tcW w:type="dxa" w:w="3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门户网站日常运行保障</w:t>
            </w:r>
          </w:p>
        </w:tc>
        <w:tc>
          <w:tcPr>
            <w:tcW w:type="dxa" w:w="166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5</w:t>
            </w:r>
          </w:p>
        </w:tc>
      </w:tr>
      <w:tr>
        <w:tc>
          <w:tcPr>
            <w:tcW w:type="dxa" w:w="980"/>
            <w:vMerge/>
            <w:tcBorders>
              <w:top w:val="none" w:color="000000" w:sz="4"/>
              <w:left w:val="double" w:color="000000" w:sz="4"/>
              <w:bottom w:val="single" w:color="000000" w:sz="4"/>
              <w:right w:val="single" w:color="000000" w:sz="4"/>
            </w:tcBorders>
          </w:tcPr>
          <w:p/>
        </w:tc>
        <w:tc>
          <w:tcPr>
            <w:tcW w:type="dxa" w:w="2248"/>
            <w:vMerge/>
            <w:tcBorders>
              <w:top w:val="none" w:color="000000" w:sz="4"/>
              <w:left w:val="none" w:color="000000" w:sz="4"/>
              <w:bottom w:val="single" w:color="000000" w:sz="4"/>
              <w:right w:val="single" w:color="000000" w:sz="4"/>
            </w:tcBorders>
          </w:tcPr>
          <w:p/>
        </w:tc>
        <w:tc>
          <w:tcPr>
            <w:tcW w:type="dxa" w:w="3418"/>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网站</w:t>
            </w:r>
            <w:r>
              <w:rPr>
                <w:rFonts w:ascii="仿宋" w:hAnsi="仿宋" w:cs="仿宋" w:eastAsia="仿宋"/>
                <w:sz w:val="24"/>
              </w:rPr>
              <w:t>安全运维</w:t>
            </w:r>
          </w:p>
        </w:tc>
        <w:tc>
          <w:tcPr>
            <w:tcW w:type="dxa" w:w="1660"/>
            <w:tcBorders>
              <w:top w:val="none" w:color="000000" w:sz="4"/>
              <w:left w:val="none" w:color="000000" w:sz="4"/>
              <w:bottom w:val="double" w:color="000000" w:sz="4"/>
              <w:right w:val="doub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5</w:t>
            </w:r>
          </w:p>
        </w:tc>
      </w:tr>
    </w:tbl>
    <w:p>
      <w:pPr>
        <w:pStyle w:val="null3"/>
        <w:ind w:firstLine="480"/>
        <w:jc w:val="both"/>
      </w:pPr>
      <w:r>
        <w:rPr>
          <w:rFonts w:ascii="仿宋" w:hAnsi="仿宋" w:cs="仿宋" w:eastAsia="仿宋"/>
          <w:sz w:val="24"/>
          <w:b/>
        </w:rPr>
        <w:t>采购包</w:t>
      </w:r>
      <w:r>
        <w:rPr>
          <w:rFonts w:ascii="仿宋" w:hAnsi="仿宋" w:cs="仿宋" w:eastAsia="仿宋"/>
          <w:sz w:val="24"/>
          <w:b/>
        </w:rPr>
        <w:t>3：2025年网络与信息系统安全服务</w:t>
      </w:r>
    </w:p>
    <w:p>
      <w:pPr>
        <w:pStyle w:val="null3"/>
        <w:ind w:left="420" w:firstLine="480"/>
        <w:jc w:val="both"/>
      </w:pPr>
      <w:r>
        <w:rPr>
          <w:rFonts w:ascii="仿宋" w:hAnsi="仿宋" w:cs="仿宋" w:eastAsia="仿宋"/>
          <w:sz w:val="24"/>
          <w:b/>
        </w:rPr>
        <w:t>项目背景</w:t>
      </w:r>
    </w:p>
    <w:p>
      <w:pPr>
        <w:pStyle w:val="null3"/>
        <w:ind w:firstLine="480"/>
        <w:jc w:val="both"/>
      </w:pPr>
      <w:r>
        <w:rPr>
          <w:rFonts w:ascii="仿宋" w:hAnsi="仿宋" w:cs="仿宋" w:eastAsia="仿宋"/>
          <w:sz w:val="24"/>
        </w:rPr>
        <w:t>为贯彻落实《中华人民共和国网络安全法》，履行我单位网络安全管理义务，保障我单位网络安全，保障信息系统安全平稳运行，开展福建省交通运输综合保障服务中心网络与信息系统安全服务项目。通过项目建设，加强我单位机房网络设备、计算机终端设备、相关网络等网络安全管理，指导提升信息系统安全防护和应急处置水平。</w:t>
      </w:r>
    </w:p>
    <w:p>
      <w:pPr>
        <w:pStyle w:val="null3"/>
        <w:ind w:firstLine="480"/>
        <w:jc w:val="both"/>
      </w:pPr>
      <w:r>
        <w:rPr>
          <w:rFonts w:ascii="仿宋" w:hAnsi="仿宋" w:cs="仿宋" w:eastAsia="仿宋"/>
          <w:sz w:val="24"/>
        </w:rPr>
        <w:t>具体包括</w:t>
      </w:r>
      <w:r>
        <w:rPr>
          <w:rFonts w:ascii="仿宋" w:hAnsi="仿宋" w:cs="仿宋" w:eastAsia="仿宋"/>
          <w:sz w:val="24"/>
        </w:rPr>
        <w:t>:对部署于长乐政务云平台的福建省交通综合行政执法业务应用软件三期项目系统、福建省交通综合行政执法信息系统、办公自动化系统（OA系统）等系统进行安全检测与渗透测试，按信息系统安全等级保护有关要求，对中心1个三级信息系统进行安全测评。对部署在单位机房的基础设施，进行网络安全隐患检查或监测中发现的问题进行整改，对网络安全事件进行应急处置等安全服务。</w:t>
      </w:r>
    </w:p>
    <w:p>
      <w:pPr>
        <w:pStyle w:val="null3"/>
        <w:ind w:firstLine="480"/>
        <w:jc w:val="center"/>
      </w:pPr>
      <w:r>
        <w:rPr>
          <w:rFonts w:ascii="仿宋" w:hAnsi="仿宋" w:cs="仿宋" w:eastAsia="仿宋"/>
          <w:sz w:val="24"/>
          <w:b/>
        </w:rPr>
        <w:t>2025年信息化安全运维服务</w:t>
      </w:r>
      <w:r>
        <w:rPr>
          <w:rFonts w:ascii="仿宋" w:hAnsi="仿宋" w:cs="仿宋" w:eastAsia="仿宋"/>
          <w:sz w:val="24"/>
          <w:b/>
        </w:rPr>
        <w:t>概算</w:t>
      </w:r>
      <w:r>
        <w:rPr>
          <w:rFonts w:ascii="仿宋" w:hAnsi="仿宋" w:cs="仿宋" w:eastAsia="仿宋"/>
          <w:sz w:val="24"/>
          <w:b/>
        </w:rPr>
        <w:t>明细表</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1002"/>
        <w:gridCol w:w="1243"/>
        <w:gridCol w:w="1243"/>
        <w:gridCol w:w="1243"/>
        <w:gridCol w:w="1243"/>
        <w:gridCol w:w="1243"/>
        <w:gridCol w:w="1088"/>
      </w:tblGrid>
      <w:tr>
        <w:tc>
          <w:tcPr>
            <w:tcW w:type="dxa" w:w="100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 w:hAnsi="仿宋" w:cs="仿宋" w:eastAsia="仿宋"/>
                <w:sz w:val="24"/>
              </w:rPr>
              <w:t>类别</w:t>
            </w:r>
          </w:p>
        </w:tc>
        <w:tc>
          <w:tcPr>
            <w:tcW w:type="dxa" w:w="124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 w:hAnsi="仿宋" w:cs="仿宋" w:eastAsia="仿宋"/>
                <w:sz w:val="24"/>
              </w:rPr>
              <w:t>序号</w:t>
            </w:r>
          </w:p>
        </w:tc>
        <w:tc>
          <w:tcPr>
            <w:tcW w:type="dxa" w:w="124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 w:hAnsi="仿宋" w:cs="仿宋" w:eastAsia="仿宋"/>
                <w:sz w:val="24"/>
              </w:rPr>
              <w:t>服务名称</w:t>
            </w:r>
          </w:p>
        </w:tc>
        <w:tc>
          <w:tcPr>
            <w:tcW w:type="dxa" w:w="124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 w:hAnsi="仿宋" w:cs="仿宋" w:eastAsia="仿宋"/>
                <w:sz w:val="24"/>
              </w:rPr>
              <w:t>服务频度</w:t>
            </w:r>
          </w:p>
        </w:tc>
        <w:tc>
          <w:tcPr>
            <w:tcW w:type="dxa" w:w="124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 w:hAnsi="仿宋" w:cs="仿宋" w:eastAsia="仿宋"/>
                <w:sz w:val="24"/>
              </w:rPr>
              <w:t>服务内容</w:t>
            </w:r>
          </w:p>
        </w:tc>
        <w:tc>
          <w:tcPr>
            <w:tcW w:type="dxa" w:w="124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 w:hAnsi="仿宋" w:cs="仿宋" w:eastAsia="仿宋"/>
                <w:sz w:val="24"/>
              </w:rPr>
              <w:t>单价</w:t>
            </w:r>
          </w:p>
          <w:p>
            <w:pPr>
              <w:pStyle w:val="null3"/>
              <w:ind w:firstLine="380"/>
              <w:jc w:val="center"/>
            </w:pPr>
            <w:r>
              <w:rPr>
                <w:rFonts w:ascii="仿宋" w:hAnsi="仿宋" w:cs="仿宋" w:eastAsia="仿宋"/>
                <w:sz w:val="24"/>
              </w:rPr>
              <w:t>（万元）</w:t>
            </w:r>
          </w:p>
        </w:tc>
        <w:tc>
          <w:tcPr>
            <w:tcW w:type="dxa" w:w="108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 w:hAnsi="仿宋" w:cs="仿宋" w:eastAsia="仿宋"/>
                <w:sz w:val="24"/>
              </w:rPr>
              <w:t>合计</w:t>
            </w:r>
          </w:p>
          <w:p>
            <w:pPr>
              <w:pStyle w:val="null3"/>
              <w:ind w:firstLine="380"/>
              <w:jc w:val="center"/>
            </w:pPr>
            <w:r>
              <w:rPr>
                <w:rFonts w:ascii="仿宋" w:hAnsi="仿宋" w:cs="仿宋" w:eastAsia="仿宋"/>
                <w:sz w:val="24"/>
              </w:rPr>
              <w:t>（万元）</w:t>
            </w:r>
          </w:p>
        </w:tc>
      </w:tr>
      <w:tr>
        <w:tc>
          <w:tcPr>
            <w:tcW w:type="dxa" w:w="10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等保服务</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1</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等保测评服务</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单次</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完成指定的</w:t>
            </w:r>
            <w:r>
              <w:rPr>
                <w:rFonts w:ascii="仿宋" w:hAnsi="仿宋" w:cs="仿宋" w:eastAsia="仿宋"/>
                <w:sz w:val="24"/>
              </w:rPr>
              <w:t>1个三级系统的等级保护测评服务，并出具符合备案要求的测评报告。</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4</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4</w:t>
            </w:r>
          </w:p>
        </w:tc>
      </w:tr>
      <w:tr>
        <w:tc>
          <w:tcPr>
            <w:tcW w:type="dxa" w:w="1002"/>
            <w:vMerge/>
            <w:tcBorders>
              <w:top w:val="none" w:color="000000" w:sz="4"/>
              <w:left w:val="single" w:color="000000" w:sz="4"/>
              <w:bottom w:val="single" w:color="000000" w:sz="4"/>
              <w:right w:val="single" w:color="000000" w:sz="4"/>
            </w:tcBorders>
          </w:tc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2</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等保咨询服务</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单次</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完成指定的</w:t>
            </w:r>
            <w:r>
              <w:rPr>
                <w:rFonts w:ascii="仿宋" w:hAnsi="仿宋" w:cs="仿宋" w:eastAsia="仿宋"/>
                <w:sz w:val="24"/>
              </w:rPr>
              <w:t>1个三级系统的等级保护咨询服务，服务包含资产梳理、差距分析、等保加固辅助、测评协助等，并完成指定系统的复测评备案工作。</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2</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2</w:t>
            </w:r>
          </w:p>
        </w:tc>
      </w:tr>
      <w:tr>
        <w:tc>
          <w:tcPr>
            <w:tcW w:type="dxa" w:w="10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业务安全检查服务</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3</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firstLine="380"/>
              <w:jc w:val="center"/>
            </w:pPr>
            <w:r>
              <w:rPr>
                <w:rFonts w:ascii="仿宋" w:hAnsi="仿宋" w:cs="仿宋" w:eastAsia="仿宋"/>
                <w:sz w:val="24"/>
              </w:rPr>
              <w:t>互联网暴露资产自查服务</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4次/年</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firstLine="380"/>
              <w:jc w:val="center"/>
            </w:pPr>
            <w:r>
              <w:rPr>
                <w:rFonts w:ascii="仿宋" w:hAnsi="仿宋" w:cs="仿宋" w:eastAsia="仿宋"/>
                <w:sz w:val="24"/>
              </w:rPr>
              <w:t>梳理暴露在互联网上的资产信息（例如威胁情报能力</w:t>
            </w:r>
            <w:r>
              <w:rPr>
                <w:rFonts w:ascii="仿宋" w:hAnsi="仿宋" w:cs="仿宋" w:eastAsia="仿宋"/>
                <w:sz w:val="24"/>
              </w:rPr>
              <w:t>+人工服务），输出互联网暴露端口列表和漏洞情况，提供安全整改建议报告、督促完成安全整改</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0.4</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1.6</w:t>
            </w:r>
          </w:p>
        </w:tc>
      </w:tr>
      <w:tr>
        <w:tc>
          <w:tcPr>
            <w:tcW w:type="dxa" w:w="1002"/>
            <w:vMerge/>
            <w:tcBorders>
              <w:top w:val="none" w:color="000000" w:sz="4"/>
              <w:left w:val="single" w:color="000000" w:sz="4"/>
              <w:bottom w:val="single" w:color="000000" w:sz="4"/>
              <w:right w:val="single" w:color="000000" w:sz="4"/>
            </w:tcBorders>
          </w:tc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4</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firstLine="380"/>
              <w:jc w:val="center"/>
            </w:pPr>
            <w:r>
              <w:rPr>
                <w:rFonts w:ascii="仿宋" w:hAnsi="仿宋" w:cs="仿宋" w:eastAsia="仿宋"/>
                <w:sz w:val="24"/>
              </w:rPr>
              <w:t>渗透测试</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2次/年</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firstLine="380"/>
              <w:jc w:val="center"/>
            </w:pPr>
            <w:r>
              <w:rPr>
                <w:rFonts w:ascii="仿宋" w:hAnsi="仿宋" w:cs="仿宋" w:eastAsia="仿宋"/>
                <w:sz w:val="24"/>
              </w:rPr>
              <w:t>从安全攻击链视角对互联网应用系统开展全方位的安全渗透测试工作，以全面发现应用系统安全问题与隐患，如：暴力破解、弱口令、</w:t>
            </w:r>
            <w:r>
              <w:rPr>
                <w:rFonts w:ascii="仿宋" w:hAnsi="仿宋" w:cs="仿宋" w:eastAsia="仿宋"/>
                <w:sz w:val="24"/>
              </w:rPr>
              <w:t>SQL注入、目录遍历等。</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1.2</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2.4</w:t>
            </w:r>
          </w:p>
        </w:tc>
      </w:tr>
      <w:tr>
        <w:tc>
          <w:tcPr>
            <w:tcW w:type="dxa" w:w="1002"/>
            <w:vMerge/>
            <w:tcBorders>
              <w:top w:val="none" w:color="000000" w:sz="4"/>
              <w:left w:val="single" w:color="000000" w:sz="4"/>
              <w:bottom w:val="single" w:color="000000" w:sz="4"/>
              <w:right w:val="single" w:color="000000" w:sz="4"/>
            </w:tcBorders>
          </w:tc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5</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firstLine="380"/>
              <w:jc w:val="center"/>
            </w:pPr>
            <w:r>
              <w:rPr>
                <w:rFonts w:ascii="仿宋" w:hAnsi="仿宋" w:cs="仿宋" w:eastAsia="仿宋"/>
                <w:sz w:val="24"/>
              </w:rPr>
              <w:t>网站安全监控服务</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1套/年</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firstLine="380"/>
              <w:jc w:val="center"/>
            </w:pPr>
            <w:r>
              <w:rPr>
                <w:rFonts w:ascii="仿宋" w:hAnsi="仿宋" w:cs="仿宋" w:eastAsia="仿宋"/>
                <w:sz w:val="24"/>
              </w:rPr>
              <w:t>1年365天通过专业的网站安全监控平台对服务范围内指定的互联网业务系统进行网站安全实时监测。</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1.5</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1.5</w:t>
            </w:r>
          </w:p>
        </w:tc>
      </w:tr>
      <w:tr>
        <w:tc>
          <w:tcPr>
            <w:tcW w:type="dxa" w:w="10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50"/>
              <w:ind w:right="45" w:firstLine="380"/>
              <w:jc w:val="center"/>
            </w:pPr>
            <w:r>
              <w:rPr>
                <w:rFonts w:ascii="仿宋" w:hAnsi="仿宋" w:cs="仿宋" w:eastAsia="仿宋"/>
                <w:sz w:val="24"/>
              </w:rPr>
              <w:t>系统安全运维服务</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ind w:right="45" w:firstLine="380"/>
              <w:jc w:val="center"/>
            </w:pPr>
            <w:r>
              <w:rPr>
                <w:rFonts w:ascii="仿宋" w:hAnsi="仿宋" w:cs="仿宋" w:eastAsia="仿宋"/>
                <w:sz w:val="24"/>
              </w:rPr>
              <w:t>6</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ind w:right="45" w:firstLine="380"/>
              <w:jc w:val="center"/>
            </w:pPr>
            <w:r>
              <w:rPr>
                <w:rFonts w:ascii="仿宋" w:hAnsi="仿宋" w:cs="仿宋" w:eastAsia="仿宋"/>
                <w:sz w:val="24"/>
              </w:rPr>
              <w:t>安全巡检服务</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12次/年</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定期对本次服务对象进行巡检及日志分析服务，并提供巡检报告。</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0.4</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4.8</w:t>
            </w:r>
          </w:p>
        </w:tc>
      </w:tr>
      <w:tr>
        <w:tc>
          <w:tcPr>
            <w:tcW w:type="dxa" w:w="1002"/>
            <w:vMerge/>
            <w:tcBorders>
              <w:top w:val="none" w:color="000000" w:sz="4"/>
              <w:left w:val="single" w:color="000000" w:sz="4"/>
              <w:bottom w:val="single" w:color="000000" w:sz="4"/>
              <w:right w:val="single" w:color="000000" w:sz="4"/>
            </w:tcBorders>
          </w:tc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7</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安全检测服务</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4次/年</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定期对服务器、网络设备、数据库、应用系统等进行一次全面的系统漏洞扫描和安全配置检查，清晰定性安全风险，给出修复建议和预防措施，并进行跟踪处理；提供检测报告</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0.5</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2</w:t>
            </w:r>
          </w:p>
        </w:tc>
      </w:tr>
      <w:tr>
        <w:tc>
          <w:tcPr>
            <w:tcW w:type="dxa" w:w="1002"/>
            <w:vMerge/>
            <w:tcBorders>
              <w:top w:val="none" w:color="000000" w:sz="4"/>
              <w:left w:val="single" w:color="000000" w:sz="4"/>
              <w:bottom w:val="single" w:color="000000" w:sz="4"/>
              <w:right w:val="single" w:color="000000" w:sz="4"/>
            </w:tcBorders>
          </w:tc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8</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安全配置核查服务</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4次/年</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针对服务范围内的操作系统、网络设备、数据库、中间件等通过专门的核查工具对可能存在的不安全配置项与安全隐患进行检查，并提供安全配置加固建议。</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0.35</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1.4</w:t>
            </w:r>
          </w:p>
        </w:tc>
      </w:tr>
      <w:tr>
        <w:tc>
          <w:tcPr>
            <w:tcW w:type="dxa" w:w="1002"/>
            <w:vMerge/>
            <w:tcBorders>
              <w:top w:val="none" w:color="000000" w:sz="4"/>
              <w:left w:val="single" w:color="000000" w:sz="4"/>
              <w:bottom w:val="single" w:color="000000" w:sz="4"/>
              <w:right w:val="single" w:color="000000" w:sz="4"/>
            </w:tcBorders>
          </w:tc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9</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安全加固指导服务</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4次/年</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在服务期内针对巡检报告和渗透测试报告，提供加固方案与加固实施回退方案，从而增强信息系统抵抗风险的能力，从而提高整个系统的安全性。加固范围包含主机系统，软件系统，数据库系统、网络设备、网络安全设备、网站等。</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0.4</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1.6</w:t>
            </w:r>
          </w:p>
        </w:tc>
      </w:tr>
      <w:tr>
        <w:tc>
          <w:tcPr>
            <w:tcW w:type="dxa" w:w="1002"/>
            <w:vMerge/>
            <w:tcBorders>
              <w:top w:val="none" w:color="000000" w:sz="4"/>
              <w:left w:val="single" w:color="000000" w:sz="4"/>
              <w:bottom w:val="single" w:color="000000" w:sz="4"/>
              <w:right w:val="single" w:color="000000" w:sz="4"/>
            </w:tcBorders>
          </w:tc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10</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安全措施有效性验证服务</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2次/年</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定期进行本地中心机房安全措施有效性验证工作，验证本地机房的核心网络设备、安全设备的安全配置符合安全策略要求，验证安全设备的策略是否为最小权限、最小服务，设备的安全审计日志正常工作，能够正确记录安全事件的来源和事件。</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0.6</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1.2</w:t>
            </w:r>
          </w:p>
        </w:tc>
      </w:tr>
      <w:tr>
        <w:tc>
          <w:tcPr>
            <w:tcW w:type="dxa" w:w="1002"/>
            <w:vMerge/>
            <w:tcBorders>
              <w:top w:val="none" w:color="000000" w:sz="4"/>
              <w:left w:val="single" w:color="000000" w:sz="4"/>
              <w:bottom w:val="single" w:color="000000" w:sz="4"/>
              <w:right w:val="single" w:color="000000" w:sz="4"/>
            </w:tcBorders>
          </w:tc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11</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基层终端安全检查服务</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4次/年</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ind w:right="45" w:firstLine="380"/>
              <w:jc w:val="center"/>
            </w:pPr>
            <w:r>
              <w:rPr>
                <w:rFonts w:ascii="仿宋" w:hAnsi="仿宋" w:cs="仿宋" w:eastAsia="仿宋"/>
                <w:sz w:val="24"/>
              </w:rPr>
              <w:t>定期对指定的基层办公主机等进行定期的漏洞测试、弱口令测试、基线策略核查等。使用专业的漏洞检查工具，通过扫描的方式来识别办公主机的漏洞和安全性问题，并针对发现的问题提供解决建议或进行及时的修正。</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1.1</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4.4</w:t>
            </w:r>
          </w:p>
        </w:tc>
      </w:tr>
      <w:tr>
        <w:tc>
          <w:tcPr>
            <w:tcW w:type="dxa" w:w="1002"/>
            <w:vMerge/>
            <w:tcBorders>
              <w:top w:val="none" w:color="000000" w:sz="4"/>
              <w:left w:val="single" w:color="000000" w:sz="4"/>
              <w:bottom w:val="single" w:color="000000" w:sz="4"/>
              <w:right w:val="single" w:color="000000" w:sz="4"/>
            </w:tcBorders>
          </w:tc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12</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保密检查服务</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4次/年</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定期通过最新版计算机保密检查在线工具和线下软件对中心内外网计算机进行专项保密检查。搜集计算机上的敏感文件信息、上网痕迹信息、移动设备插拔记录、通信设备使用记录等信息。</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0.8</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3.2</w:t>
            </w:r>
          </w:p>
        </w:tc>
      </w:tr>
      <w:tr>
        <w:tc>
          <w:tcPr>
            <w:tcW w:type="dxa" w:w="1002"/>
            <w:vMerge/>
            <w:tcBorders>
              <w:top w:val="none" w:color="000000" w:sz="4"/>
              <w:left w:val="single" w:color="000000" w:sz="4"/>
              <w:bottom w:val="single" w:color="000000" w:sz="4"/>
              <w:right w:val="single" w:color="000000" w:sz="4"/>
            </w:tcBorders>
          </w:tc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13</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新系统上线检测服务</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单次</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按照等保及</w:t>
            </w:r>
            <w:r>
              <w:rPr>
                <w:rFonts w:ascii="仿宋" w:hAnsi="仿宋" w:cs="仿宋" w:eastAsia="仿宋"/>
                <w:sz w:val="24"/>
              </w:rPr>
              <w:t>中心</w:t>
            </w:r>
            <w:r>
              <w:rPr>
                <w:rFonts w:ascii="仿宋" w:hAnsi="仿宋" w:cs="仿宋" w:eastAsia="仿宋"/>
                <w:sz w:val="24"/>
              </w:rPr>
              <w:t>定级要求对新业务上线前进行一次安全检查，并提供检测诊断报告。</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1.5</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1.5</w:t>
            </w:r>
          </w:p>
        </w:tc>
      </w:tr>
      <w:tr>
        <w:tc>
          <w:tcPr>
            <w:tcW w:type="dxa" w:w="10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50"/>
              <w:ind w:right="45" w:firstLine="380"/>
              <w:jc w:val="center"/>
            </w:pPr>
            <w:r>
              <w:rPr>
                <w:rFonts w:ascii="仿宋" w:hAnsi="仿宋" w:cs="仿宋" w:eastAsia="仿宋"/>
                <w:sz w:val="24"/>
              </w:rPr>
              <w:t>综合服务</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ind w:right="45" w:firstLine="380"/>
              <w:jc w:val="center"/>
            </w:pPr>
            <w:r>
              <w:rPr>
                <w:rFonts w:ascii="仿宋" w:hAnsi="仿宋" w:cs="仿宋" w:eastAsia="仿宋"/>
                <w:sz w:val="24"/>
              </w:rPr>
              <w:t>14</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ind w:right="45" w:firstLine="380"/>
              <w:jc w:val="center"/>
            </w:pPr>
            <w:r>
              <w:rPr>
                <w:rFonts w:ascii="仿宋" w:hAnsi="仿宋" w:cs="仿宋" w:eastAsia="仿宋"/>
                <w:sz w:val="24"/>
              </w:rPr>
              <w:t>安全通告服务</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1套/年</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根据最新的安全形势，及时发送安全通告和预警。</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0.4</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0.4</w:t>
            </w:r>
          </w:p>
        </w:tc>
      </w:tr>
      <w:tr>
        <w:tc>
          <w:tcPr>
            <w:tcW w:type="dxa" w:w="1002"/>
            <w:vMerge/>
            <w:tcBorders>
              <w:top w:val="none" w:color="000000" w:sz="4"/>
              <w:left w:val="single" w:color="000000" w:sz="4"/>
              <w:bottom w:val="single" w:color="000000" w:sz="4"/>
              <w:right w:val="single" w:color="000000" w:sz="4"/>
            </w:tcBorders>
          </w:tc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15</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安全培训服务</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1次/年</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每年</w:t>
            </w:r>
            <w:r>
              <w:rPr>
                <w:rFonts w:ascii="仿宋" w:hAnsi="仿宋" w:cs="仿宋" w:eastAsia="仿宋"/>
                <w:sz w:val="24"/>
              </w:rPr>
              <w:t>1次集中安全基础技术培训，提供相应课程教材</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0.4</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0.4</w:t>
            </w:r>
          </w:p>
        </w:tc>
      </w:tr>
      <w:tr>
        <w:tc>
          <w:tcPr>
            <w:tcW w:type="dxa" w:w="1002"/>
            <w:vMerge/>
            <w:tcBorders>
              <w:top w:val="none" w:color="000000" w:sz="4"/>
              <w:left w:val="single" w:color="000000" w:sz="4"/>
              <w:bottom w:val="single" w:color="000000" w:sz="4"/>
              <w:right w:val="single" w:color="000000" w:sz="4"/>
            </w:tcBorders>
          </w:tc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16</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演练支撑服务</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1次/年</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协助中心参与上级主管部门组织的攻防演练活动，一年至少一次，安排技术人员进行值守保障工作，并按照要求提供相关台账材料。</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1.8</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1.8</w:t>
            </w:r>
          </w:p>
        </w:tc>
      </w:tr>
      <w:tr>
        <w:tc>
          <w:tcPr>
            <w:tcW w:type="dxa" w:w="1002"/>
            <w:vMerge/>
            <w:tcBorders>
              <w:top w:val="none" w:color="000000" w:sz="4"/>
              <w:left w:val="single" w:color="000000" w:sz="4"/>
              <w:bottom w:val="single" w:color="000000" w:sz="4"/>
              <w:right w:val="single" w:color="000000" w:sz="4"/>
            </w:tcBorders>
          </w:tc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17</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安全咨询服务</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全年</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提供信息化规划、技术体系等上的支撑</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0.5</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0.5</w:t>
            </w:r>
          </w:p>
        </w:tc>
      </w:tr>
      <w:tr>
        <w:tc>
          <w:tcPr>
            <w:tcW w:type="dxa" w:w="1002"/>
            <w:vMerge/>
            <w:tcBorders>
              <w:top w:val="none" w:color="000000" w:sz="4"/>
              <w:left w:val="single" w:color="000000" w:sz="4"/>
              <w:bottom w:val="single" w:color="000000" w:sz="4"/>
              <w:right w:val="single" w:color="000000" w:sz="4"/>
            </w:tcBorders>
          </w:tc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18</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基础制度文档编写服务</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全年</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按照等级保护要求及</w:t>
            </w:r>
            <w:r>
              <w:rPr>
                <w:rFonts w:ascii="仿宋" w:hAnsi="仿宋" w:cs="仿宋" w:eastAsia="仿宋"/>
                <w:sz w:val="24"/>
              </w:rPr>
              <w:t>ISO27000要求要求编写文档。</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0.5</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0.5</w:t>
            </w:r>
          </w:p>
        </w:tc>
      </w:tr>
      <w:tr>
        <w:tc>
          <w:tcPr>
            <w:tcW w:type="dxa" w:w="1002"/>
            <w:vMerge/>
            <w:tcBorders>
              <w:top w:val="none" w:color="000000" w:sz="4"/>
              <w:left w:val="single" w:color="000000" w:sz="4"/>
              <w:bottom w:val="single" w:color="000000" w:sz="4"/>
              <w:right w:val="single" w:color="000000" w:sz="4"/>
            </w:tcBorders>
          </w:tc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19</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应急响应服务</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全年</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全天候，</w:t>
            </w:r>
            <w:r>
              <w:rPr>
                <w:rFonts w:ascii="仿宋" w:hAnsi="仿宋" w:cs="仿宋" w:eastAsia="仿宋"/>
                <w:sz w:val="24"/>
              </w:rPr>
              <w:t>1小时到达现场，每次提供相应的响应报告，找出根源并提供可行解决方案（远程无法解决的安全事件）</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0.5</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0.5</w:t>
            </w:r>
          </w:p>
        </w:tc>
      </w:tr>
      <w:tr>
        <w:tc>
          <w:tcPr>
            <w:tcW w:type="dxa" w:w="1002"/>
            <w:vMerge/>
            <w:tcBorders>
              <w:top w:val="none" w:color="000000" w:sz="4"/>
              <w:left w:val="single" w:color="000000" w:sz="4"/>
              <w:bottom w:val="single" w:color="000000" w:sz="4"/>
              <w:right w:val="single" w:color="000000" w:sz="4"/>
            </w:tcBorders>
          </w:tc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20</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专题保障服务</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全年</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为全国两会、国庆、国际会议等重大活动提供特殊保障服务。</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0.5</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0.5</w:t>
            </w:r>
          </w:p>
        </w:tc>
      </w:tr>
      <w:tr>
        <w:tc>
          <w:tcPr>
            <w:tcW w:type="dxa" w:w="1002"/>
            <w:vMerge/>
            <w:tcBorders>
              <w:top w:val="none" w:color="000000" w:sz="4"/>
              <w:left w:val="single" w:color="000000" w:sz="4"/>
              <w:bottom w:val="single" w:color="000000" w:sz="4"/>
              <w:right w:val="single" w:color="000000" w:sz="4"/>
            </w:tcBorders>
          </w:tc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21</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检查支撑服务</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全年</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针对中心收到的上级部门或者监管单位下发网络安全相关的通知或者文件要求，安排工程师提供相关的支撑工作。</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1</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1</w:t>
            </w:r>
          </w:p>
        </w:tc>
      </w:tr>
      <w:tr>
        <w:tc>
          <w:tcPr>
            <w:tcW w:type="dxa" w:w="1002"/>
            <w:vMerge/>
            <w:tcBorders>
              <w:top w:val="none" w:color="000000" w:sz="4"/>
              <w:left w:val="single" w:color="000000" w:sz="4"/>
              <w:bottom w:val="single" w:color="000000" w:sz="4"/>
              <w:right w:val="single" w:color="000000" w:sz="4"/>
            </w:tcBorders>
          </w:tc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22</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应急演练服务</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1次/年</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在服务期内按照中心要求组织一次针对全省治超监测监控指挥中心平台软件的实战演练服务</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4</w:t>
            </w:r>
            <w:r>
              <w:rPr>
                <w:rFonts w:ascii="仿宋" w:hAnsi="仿宋" w:cs="仿宋" w:eastAsia="仿宋"/>
                <w:sz w:val="24"/>
              </w:rPr>
              <w:t>.3</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4</w:t>
            </w:r>
            <w:r>
              <w:rPr>
                <w:rFonts w:ascii="仿宋" w:hAnsi="仿宋" w:cs="仿宋" w:eastAsia="仿宋"/>
                <w:sz w:val="24"/>
              </w:rPr>
              <w:t>.3</w:t>
            </w:r>
          </w:p>
        </w:tc>
      </w:tr>
      <w:tr>
        <w:tc>
          <w:tcPr>
            <w:tcW w:type="dxa" w:w="10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其他服务</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23</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终端防护服务</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1套</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在服务期内为中心提供终端安全防护服务，提升日常办公终端的安全。</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0</w:t>
            </w:r>
            <w:r>
              <w:rPr>
                <w:rFonts w:ascii="仿宋" w:hAnsi="仿宋" w:cs="仿宋" w:eastAsia="仿宋"/>
                <w:sz w:val="24"/>
              </w:rPr>
              <w:t>.5</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0</w:t>
            </w:r>
            <w:r>
              <w:rPr>
                <w:rFonts w:ascii="仿宋" w:hAnsi="仿宋" w:cs="仿宋" w:eastAsia="仿宋"/>
                <w:sz w:val="24"/>
              </w:rPr>
              <w:t>.5</w:t>
            </w:r>
          </w:p>
        </w:tc>
      </w:tr>
      <w:tr>
        <w:tc>
          <w:tcPr>
            <w:tcW w:type="dxa" w:w="1002"/>
            <w:vMerge/>
            <w:tcBorders>
              <w:top w:val="none" w:color="000000" w:sz="4"/>
              <w:left w:val="single" w:color="000000" w:sz="4"/>
              <w:bottom w:val="single" w:color="000000" w:sz="4"/>
              <w:right w:val="single" w:color="000000" w:sz="4"/>
            </w:tcBorders>
          </w:tc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24</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机房安全防护服务</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按需</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加强中心本地机房安全防护，包括但不限于安全设备更新，提供设备扩容、版本更新，特征库进行升级，现场支持、故障响应修复备机等安全服务。</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1</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1</w:t>
            </w:r>
          </w:p>
        </w:tc>
      </w:tr>
      <w:tr>
        <w:tc>
          <w:tcPr>
            <w:tcW w:type="dxa" w:w="1002"/>
            <w:vMerge/>
            <w:tcBorders>
              <w:top w:val="none" w:color="000000" w:sz="4"/>
              <w:left w:val="single" w:color="000000" w:sz="4"/>
              <w:bottom w:val="single" w:color="000000" w:sz="4"/>
              <w:right w:val="single" w:color="000000" w:sz="4"/>
            </w:tcBorders>
          </w:tc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25</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19"/>
              </w:rPr>
              <w:t>文件内容审核服务</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按需</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提供线上平台或软件，对文件内容进行审核。用户在平台上输入文字内容或提交文件后，平台对内容中文字错误、语法格式错误、不良文字、重要内容表述错误等问题进行提示，并给出正确的参考意见。</w:t>
            </w:r>
          </w:p>
          <w:p>
            <w:pPr>
              <w:pStyle w:val="null3"/>
              <w:ind w:firstLine="380"/>
              <w:jc w:val="center"/>
            </w:p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3</w:t>
            </w:r>
          </w:p>
        </w:tc>
      </w:tr>
      <w:tr>
        <w:tc>
          <w:tcPr>
            <w:tcW w:type="dxa" w:w="1002"/>
            <w:vMerge/>
            <w:tcBorders>
              <w:top w:val="none" w:color="000000" w:sz="4"/>
              <w:left w:val="single" w:color="000000" w:sz="4"/>
              <w:bottom w:val="single" w:color="000000" w:sz="4"/>
              <w:right w:val="single" w:color="000000" w:sz="4"/>
            </w:tcBorders>
          </w:tc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26</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19"/>
              </w:rPr>
              <w:t>大屏内容监测服务</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按需</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19"/>
              </w:rPr>
              <w:t>在中心</w:t>
            </w:r>
            <w:r>
              <w:rPr>
                <w:rFonts w:ascii="仿宋" w:hAnsi="仿宋" w:cs="仿宋" w:eastAsia="仿宋"/>
                <w:sz w:val="19"/>
              </w:rPr>
              <w:t>及政务服务中心大厅</w:t>
            </w:r>
            <w:r>
              <w:rPr>
                <w:rFonts w:ascii="仿宋" w:hAnsi="仿宋" w:cs="仿宋" w:eastAsia="仿宋"/>
                <w:sz w:val="19"/>
              </w:rPr>
              <w:t>部署</w:t>
            </w:r>
            <w:r>
              <w:rPr>
                <w:rFonts w:ascii="仿宋" w:hAnsi="仿宋" w:cs="仿宋" w:eastAsia="仿宋"/>
                <w:sz w:val="19"/>
              </w:rPr>
              <w:t>大屏内容监测</w:t>
            </w:r>
            <w:r>
              <w:rPr>
                <w:rFonts w:ascii="仿宋" w:hAnsi="仿宋" w:cs="仿宋" w:eastAsia="仿宋"/>
                <w:sz w:val="19"/>
              </w:rPr>
              <w:t>设备，对涉黄、涉恐、不良文字内容实时审核拦截，并提供安全替换屏幕内容，防止公共大屏播放不良内容。</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4</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 w:hAnsi="仿宋" w:cs="仿宋" w:eastAsia="仿宋"/>
                <w:sz w:val="24"/>
              </w:rPr>
              <w:t>4</w:t>
            </w:r>
          </w:p>
        </w:tc>
      </w:tr>
    </w:tbl>
    <w:p>
      <w:pPr>
        <w:pStyle w:val="null3"/>
        <w:jc w:val="both"/>
      </w:pPr>
      <w:r>
        <w:rPr/>
        <w:t xml:space="preserve"> </w:t>
      </w:r>
    </w:p>
    <w:p>
      <w:pPr>
        <w:pStyle w:val="null3"/>
        <w:ind w:firstLine="480"/>
        <w:jc w:val="both"/>
      </w:pPr>
      <w:r>
        <w:rPr>
          <w:rFonts w:ascii="仿宋" w:hAnsi="仿宋" w:cs="仿宋" w:eastAsia="仿宋"/>
          <w:sz w:val="24"/>
        </w:rPr>
        <w:t>注：投标人须根据各采购包预算明细表填写详细的分项报价表。</w:t>
      </w:r>
    </w:p>
    <w:p>
      <w:pPr>
        <w:pStyle w:val="null3"/>
        <w:jc w:val="both"/>
        <w:outlineLvl w:val="2"/>
      </w:pPr>
      <w:r>
        <w:rPr>
          <w:sz w:val="28"/>
          <w:b/>
        </w:rPr>
        <w:t>二、技术和服务要求（以“★”标示的内容为不允许负偏离的实质性要求）</w:t>
      </w:r>
    </w:p>
    <w:p>
      <w:pPr>
        <w:pStyle w:val="null3"/>
        <w:jc w:val="left"/>
      </w:pPr>
      <w:r>
        <w:rPr>
          <w:rFonts w:ascii="仿宋" w:hAnsi="仿宋" w:cs="仿宋" w:eastAsia="仿宋"/>
          <w:sz w:val="24"/>
          <w:b/>
        </w:rPr>
        <w:t>采购包</w:t>
      </w:r>
      <w:r>
        <w:rPr>
          <w:rFonts w:ascii="仿宋" w:hAnsi="仿宋" w:cs="仿宋" w:eastAsia="仿宋"/>
          <w:sz w:val="24"/>
          <w:b/>
        </w:rPr>
        <w:t>1：</w:t>
      </w:r>
    </w:p>
    <w:p>
      <w:pPr>
        <w:pStyle w:val="null3"/>
        <w:ind w:left="420"/>
        <w:jc w:val="both"/>
      </w:pPr>
      <w:r>
        <w:rPr>
          <w:rFonts w:ascii="仿宋" w:hAnsi="仿宋" w:cs="仿宋" w:eastAsia="仿宋"/>
          <w:sz w:val="24"/>
          <w:b/>
        </w:rPr>
        <w:t>★（一）2025年的运维内容【指标1】</w:t>
      </w:r>
    </w:p>
    <w:p>
      <w:pPr>
        <w:pStyle w:val="null3"/>
        <w:ind w:firstLine="420"/>
        <w:jc w:val="both"/>
      </w:pPr>
      <w:r>
        <w:rPr>
          <w:rFonts w:ascii="仿宋" w:hAnsi="仿宋" w:cs="仿宋" w:eastAsia="仿宋"/>
          <w:sz w:val="24"/>
        </w:rPr>
        <w:t>在全省应用省一体化平台平台办案后，交通执法系统中与省一体化平台中功能重合的部分将停止运维保障，对省一体化平台中功能暂时不满足、且基层工作中实际需要的功能模块将继续运维保障。交通执法系统中，总共有功能模块</w:t>
      </w:r>
      <w:r>
        <w:rPr>
          <w:rFonts w:ascii="仿宋" w:hAnsi="仿宋" w:cs="仿宋" w:eastAsia="仿宋"/>
          <w:sz w:val="24"/>
        </w:rPr>
        <w:t>337项，拟继续保留运维的功能模块138项，拟停止运维的功能模块199项。具体详见附件。</w:t>
      </w:r>
    </w:p>
    <w:p>
      <w:pPr>
        <w:pStyle w:val="null3"/>
        <w:ind w:left="420"/>
        <w:jc w:val="both"/>
      </w:pPr>
      <w:r>
        <w:rPr>
          <w:rFonts w:ascii="仿宋" w:hAnsi="仿宋" w:cs="仿宋" w:eastAsia="仿宋"/>
          <w:sz w:val="24"/>
          <w:b/>
        </w:rPr>
        <w:t>★（二）服务对象【指标2】</w:t>
      </w:r>
    </w:p>
    <w:p>
      <w:pPr>
        <w:pStyle w:val="null3"/>
        <w:ind w:firstLine="560"/>
        <w:jc w:val="both"/>
      </w:pPr>
      <w:r>
        <w:rPr>
          <w:rFonts w:ascii="仿宋" w:hAnsi="仿宋" w:cs="仿宋" w:eastAsia="仿宋"/>
          <w:sz w:val="24"/>
        </w:rPr>
        <w:t>本次项目运维服务对象包括了省、市、县三级交通执法机构以及全省高速执法支队以及下属大队、中队。其中省级服务对象为福建省交通运输厅及其直属单位；市级服务对象为各设区市交通综合行政执法支队（含平潭支队和漳开大队）及港口管理行政执法支队；县级服务对象为各县（市、区）交通综合行政执法大队（执法所）及所有在运行的治超站点。服务期间内，若有新建交通执法机构，其对应的系统也纳入运维范围。</w:t>
      </w:r>
    </w:p>
    <w:p>
      <w:pPr>
        <w:pStyle w:val="null3"/>
        <w:jc w:val="both"/>
      </w:pPr>
      <w:r>
        <w:rPr>
          <w:rFonts w:ascii="仿宋" w:hAnsi="仿宋" w:cs="仿宋" w:eastAsia="仿宋"/>
          <w:sz w:val="24"/>
          <w:b/>
        </w:rPr>
        <w:t>（三）运维方式</w:t>
      </w:r>
    </w:p>
    <w:p>
      <w:pPr>
        <w:pStyle w:val="null3"/>
        <w:ind w:left="420"/>
        <w:jc w:val="both"/>
      </w:pPr>
      <w:r>
        <w:rPr>
          <w:rFonts w:ascii="仿宋" w:hAnsi="仿宋" w:cs="仿宋" w:eastAsia="仿宋"/>
          <w:sz w:val="24"/>
          <w:b/>
        </w:rPr>
        <w:t>1、电话咨询【指标3】</w:t>
      </w:r>
    </w:p>
    <w:p>
      <w:pPr>
        <w:pStyle w:val="null3"/>
        <w:ind w:firstLine="560"/>
        <w:jc w:val="both"/>
      </w:pPr>
      <w:r>
        <w:rPr>
          <w:rFonts w:ascii="仿宋" w:hAnsi="仿宋" w:cs="仿宋" w:eastAsia="仿宋"/>
          <w:sz w:val="24"/>
        </w:rPr>
        <w:t>向所有运行维护服务对象提供电话热线，提供业务和技术咨询服务。在</w:t>
      </w:r>
      <w:r>
        <w:rPr>
          <w:rFonts w:ascii="仿宋" w:hAnsi="仿宋" w:cs="仿宋" w:eastAsia="仿宋"/>
          <w:sz w:val="24"/>
        </w:rPr>
        <w:t>5*8 小时工作时间内设置专人值守的热线电话，并记录服务台事件处理结果。在重要时间节点和专项活动时，提供7*24小电话服务。</w:t>
      </w:r>
    </w:p>
    <w:p>
      <w:pPr>
        <w:pStyle w:val="null3"/>
        <w:ind w:left="705"/>
        <w:jc w:val="both"/>
      </w:pPr>
      <w:r>
        <w:rPr>
          <w:rFonts w:ascii="仿宋" w:hAnsi="仿宋" w:cs="仿宋" w:eastAsia="仿宋"/>
          <w:sz w:val="24"/>
          <w:b/>
        </w:rPr>
        <w:t>2、远程服务【指标4】</w:t>
      </w:r>
    </w:p>
    <w:p>
      <w:pPr>
        <w:pStyle w:val="null3"/>
        <w:ind w:firstLine="560"/>
        <w:jc w:val="both"/>
      </w:pPr>
      <w:r>
        <w:rPr>
          <w:rFonts w:ascii="仿宋" w:hAnsi="仿宋" w:cs="仿宋" w:eastAsia="仿宋"/>
          <w:sz w:val="24"/>
        </w:rPr>
        <w:t>运维人员电话无法诊断与解决问题时，服务对象可向运维人员提出远程服务申请，运维人员应在</w:t>
      </w:r>
      <w:r>
        <w:rPr>
          <w:rFonts w:ascii="仿宋" w:hAnsi="仿宋" w:cs="仿宋" w:eastAsia="仿宋"/>
          <w:sz w:val="24"/>
        </w:rPr>
        <w:t>15分钟内响应，通过远程服务，解决客户的相关问题；对于无法处理的问题，2小时内提交故障处理方案。</w:t>
      </w:r>
    </w:p>
    <w:p>
      <w:pPr>
        <w:pStyle w:val="null3"/>
        <w:ind w:left="705"/>
        <w:jc w:val="both"/>
      </w:pPr>
      <w:r>
        <w:rPr>
          <w:rFonts w:ascii="仿宋" w:hAnsi="仿宋" w:cs="仿宋" w:eastAsia="仿宋"/>
          <w:sz w:val="24"/>
          <w:b/>
        </w:rPr>
        <w:t>3、现场服务</w:t>
      </w:r>
    </w:p>
    <w:p>
      <w:pPr>
        <w:pStyle w:val="null3"/>
        <w:ind w:firstLine="560"/>
        <w:jc w:val="both"/>
      </w:pPr>
      <w:r>
        <w:rPr>
          <w:rFonts w:ascii="仿宋" w:hAnsi="仿宋" w:cs="仿宋" w:eastAsia="仿宋"/>
          <w:sz w:val="24"/>
        </w:rPr>
        <w:t>(1)设立驻点运维人员，提供5×8小时现场服务，形成驻点人员与福建省交通运输综合保障服务中心无缝对接，实现驻点服务与现场服务相结合。【指标5】</w:t>
      </w:r>
    </w:p>
    <w:p>
      <w:pPr>
        <w:pStyle w:val="null3"/>
        <w:ind w:firstLine="560"/>
        <w:jc w:val="both"/>
      </w:pPr>
      <w:r>
        <w:rPr>
          <w:rFonts w:ascii="仿宋" w:hAnsi="仿宋" w:cs="仿宋" w:eastAsia="仿宋"/>
          <w:sz w:val="24"/>
        </w:rPr>
        <w:t>(2)根据各级执法单位的申请和运维工作需要，安排运维人员到需求单位对交通执法信息化专用设备、软件存在的问题进行排查处理。【指标6】</w:t>
      </w:r>
    </w:p>
    <w:p>
      <w:pPr>
        <w:pStyle w:val="null3"/>
        <w:ind w:firstLine="560"/>
        <w:jc w:val="both"/>
      </w:pPr>
      <w:r>
        <w:rPr>
          <w:rFonts w:ascii="仿宋" w:hAnsi="仿宋" w:cs="仿宋" w:eastAsia="仿宋"/>
          <w:sz w:val="24"/>
        </w:rPr>
        <w:t>(3)根据各级执法机构的需求，组织技术人员到各级交通执法机构进行现场培训服务。【指标7】</w:t>
      </w:r>
    </w:p>
    <w:p>
      <w:pPr>
        <w:pStyle w:val="null3"/>
        <w:ind w:firstLine="560"/>
        <w:jc w:val="both"/>
      </w:pPr>
      <w:r>
        <w:rPr>
          <w:rFonts w:ascii="仿宋" w:hAnsi="仿宋" w:cs="仿宋" w:eastAsia="仿宋"/>
          <w:sz w:val="24"/>
        </w:rPr>
        <w:t>（</w:t>
      </w:r>
      <w:r>
        <w:rPr>
          <w:rFonts w:ascii="仿宋" w:hAnsi="仿宋" w:cs="仿宋" w:eastAsia="仿宋"/>
          <w:sz w:val="24"/>
        </w:rPr>
        <w:t>4）对新设立执法单位进行系统安装部署，并对执法人员进行业务培训和系统操作培训。【指标8】</w:t>
      </w:r>
    </w:p>
    <w:p>
      <w:pPr>
        <w:pStyle w:val="null3"/>
        <w:ind w:left="705"/>
        <w:jc w:val="both"/>
      </w:pPr>
      <w:r>
        <w:rPr>
          <w:rFonts w:ascii="仿宋" w:hAnsi="仿宋" w:cs="仿宋" w:eastAsia="仿宋"/>
          <w:sz w:val="24"/>
          <w:b/>
        </w:rPr>
        <w:t>4、监控服务</w:t>
      </w:r>
    </w:p>
    <w:p>
      <w:pPr>
        <w:pStyle w:val="null3"/>
        <w:ind w:firstLine="560"/>
        <w:jc w:val="both"/>
      </w:pPr>
      <w:r>
        <w:rPr>
          <w:rFonts w:ascii="仿宋" w:hAnsi="仿宋" w:cs="仿宋" w:eastAsia="仿宋"/>
          <w:sz w:val="24"/>
        </w:rPr>
        <w:t>从应用系统运行层面，对系统的运行可靠性及稳定性进行有效监控，确保应用系统平稳运行，主要监控系统运行状态、用户在线状态、数据上传及交互状态等，每月定期提交系统监控报告。【指标</w:t>
      </w:r>
      <w:r>
        <w:rPr>
          <w:rFonts w:ascii="仿宋" w:hAnsi="仿宋" w:cs="仿宋" w:eastAsia="仿宋"/>
          <w:sz w:val="24"/>
        </w:rPr>
        <w:t>9】</w:t>
      </w:r>
    </w:p>
    <w:p>
      <w:pPr>
        <w:pStyle w:val="null3"/>
        <w:ind w:left="705"/>
        <w:jc w:val="both"/>
      </w:pPr>
      <w:r>
        <w:rPr>
          <w:rFonts w:ascii="仿宋" w:hAnsi="仿宋" w:cs="仿宋" w:eastAsia="仿宋"/>
          <w:sz w:val="24"/>
          <w:b/>
        </w:rPr>
        <w:t>5、应急运维响应</w:t>
      </w:r>
    </w:p>
    <w:p>
      <w:pPr>
        <w:pStyle w:val="null3"/>
        <w:ind w:firstLine="420"/>
        <w:jc w:val="both"/>
      </w:pPr>
      <w:r>
        <w:rPr>
          <w:rFonts w:ascii="仿宋" w:hAnsi="仿宋" w:cs="仿宋" w:eastAsia="仿宋"/>
          <w:sz w:val="24"/>
        </w:rPr>
        <w:t>在相关业务系统出现重大风险、影响正常业务工作开展时，运维服务单位应增加运维服务人员，加强技术团队力量，确保按要求完成应急服务保障。应急处置后应作应急处置报告，包括故障原因、系统现状、现场服务工程师、解决办法、实施过程、维护结果、改进建议。【指标</w:t>
      </w:r>
      <w:r>
        <w:rPr>
          <w:rFonts w:ascii="仿宋" w:hAnsi="仿宋" w:cs="仿宋" w:eastAsia="仿宋"/>
          <w:sz w:val="24"/>
        </w:rPr>
        <w:t>10】</w:t>
      </w:r>
    </w:p>
    <w:p>
      <w:pPr>
        <w:pStyle w:val="null3"/>
        <w:ind w:left="420"/>
        <w:jc w:val="both"/>
      </w:pPr>
      <w:r>
        <w:rPr>
          <w:rFonts w:ascii="仿宋" w:hAnsi="仿宋" w:cs="仿宋" w:eastAsia="仿宋"/>
          <w:sz w:val="24"/>
          <w:b/>
        </w:rPr>
        <w:t>★6、服务时间</w:t>
      </w:r>
    </w:p>
    <w:p>
      <w:pPr>
        <w:pStyle w:val="null3"/>
        <w:jc w:val="both"/>
      </w:pPr>
      <w:r>
        <w:rPr>
          <w:rFonts w:ascii="仿宋" w:hAnsi="仿宋" w:cs="仿宋" w:eastAsia="仿宋"/>
          <w:sz w:val="24"/>
        </w:rPr>
        <w:t>服务时间从</w:t>
      </w:r>
      <w:r>
        <w:rPr>
          <w:rFonts w:ascii="仿宋" w:hAnsi="仿宋" w:cs="仿宋" w:eastAsia="仿宋"/>
          <w:sz w:val="24"/>
        </w:rPr>
        <w:t>2024年12月21日至2025年12月20日。【指标11】</w:t>
      </w:r>
    </w:p>
    <w:p>
      <w:pPr>
        <w:pStyle w:val="null3"/>
        <w:ind w:left="420"/>
        <w:jc w:val="both"/>
      </w:pPr>
      <w:r>
        <w:rPr>
          <w:rFonts w:ascii="仿宋" w:hAnsi="仿宋" w:cs="仿宋" w:eastAsia="仿宋"/>
          <w:sz w:val="24"/>
          <w:b/>
        </w:rPr>
        <w:t>7.运维管理</w:t>
      </w:r>
    </w:p>
    <w:p>
      <w:pPr>
        <w:pStyle w:val="null3"/>
        <w:ind w:left="570"/>
        <w:jc w:val="both"/>
      </w:pPr>
      <w:r>
        <w:rPr>
          <w:rFonts w:ascii="仿宋" w:hAnsi="仿宋" w:cs="仿宋" w:eastAsia="仿宋"/>
          <w:sz w:val="24"/>
          <w:b/>
        </w:rPr>
        <w:t>7.1.项目运维团队</w:t>
      </w:r>
    </w:p>
    <w:p>
      <w:pPr>
        <w:pStyle w:val="null3"/>
        <w:ind w:firstLine="420"/>
        <w:jc w:val="both"/>
      </w:pPr>
      <w:r>
        <w:rPr>
          <w:rFonts w:ascii="仿宋" w:hAnsi="仿宋" w:cs="仿宋" w:eastAsia="仿宋"/>
          <w:sz w:val="24"/>
        </w:rPr>
        <w:t>项目运维团队主要由运维项目经理、运维人员、测试工程师、软件工程师组成。其中骨干团队成员不少于</w:t>
      </w:r>
      <w:r>
        <w:rPr>
          <w:rFonts w:ascii="仿宋" w:hAnsi="仿宋" w:cs="仿宋" w:eastAsia="仿宋"/>
          <w:sz w:val="24"/>
        </w:rPr>
        <w:t>3人，分别为运维项目经理1人、软件开发工程师1人、驻点运维人员1人。项目经理应具有相关专业中级及以上专业技术资格。在运维期间，无特殊情况，骨干成员不得更换。因员工离职等特殊原因变更人员的，新任职人员的资质不低于原岗位人员。下面为项目运维团队各岗位工作职责说明：</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911"/>
        <w:gridCol w:w="737"/>
        <w:gridCol w:w="5658"/>
      </w:tblGrid>
      <w:tr>
        <w:tc>
          <w:tcPr>
            <w:tcW w:type="dxa" w:w="1911"/>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 w:hAnsi="仿宋" w:cs="仿宋" w:eastAsia="仿宋"/>
                <w:sz w:val="24"/>
                <w:b/>
              </w:rPr>
              <w:t>角色名称</w:t>
            </w:r>
          </w:p>
        </w:tc>
        <w:tc>
          <w:tcPr>
            <w:tcW w:type="dxa" w:w="737"/>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 w:hAnsi="仿宋" w:cs="仿宋" w:eastAsia="仿宋"/>
                <w:sz w:val="24"/>
                <w:b/>
              </w:rPr>
              <w:t>人数</w:t>
            </w:r>
          </w:p>
        </w:tc>
        <w:tc>
          <w:tcPr>
            <w:tcW w:type="dxa" w:w="5658"/>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 w:hAnsi="仿宋" w:cs="仿宋" w:eastAsia="仿宋"/>
                <w:sz w:val="24"/>
                <w:b/>
              </w:rPr>
              <w:t>工作职责</w:t>
            </w:r>
          </w:p>
        </w:tc>
      </w:tr>
      <w:tr>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项目经理</w:t>
            </w:r>
          </w:p>
          <w:p>
            <w:pPr>
              <w:pStyle w:val="null3"/>
              <w:jc w:val="left"/>
            </w:pPr>
            <w:r>
              <w:rPr>
                <w:rFonts w:ascii="仿宋" w:hAnsi="仿宋" w:cs="仿宋" w:eastAsia="仿宋"/>
                <w:sz w:val="24"/>
              </w:rPr>
              <w:t>【指标</w:t>
            </w:r>
            <w:r>
              <w:rPr>
                <w:rFonts w:ascii="仿宋" w:hAnsi="仿宋" w:cs="仿宋" w:eastAsia="仿宋"/>
                <w:sz w:val="24"/>
              </w:rPr>
              <w:t>12】</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1人</w:t>
            </w:r>
          </w:p>
        </w:tc>
        <w:tc>
          <w:tcPr>
            <w:tcW w:type="dxa" w:w="5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w:t>
            </w:r>
            <w:r>
              <w:rPr>
                <w:rFonts w:ascii="仿宋" w:hAnsi="仿宋" w:cs="仿宋" w:eastAsia="仿宋"/>
                <w:sz w:val="24"/>
              </w:rPr>
              <w:t>1）做好项目管理计划。充分管控项目的范围、进度、成本、质量、风险等要素，对项目实施过程中出现的重大变更进行决策；</w:t>
            </w:r>
          </w:p>
          <w:p>
            <w:pPr>
              <w:pStyle w:val="null3"/>
              <w:jc w:val="both"/>
            </w:pPr>
            <w:r>
              <w:rPr>
                <w:rFonts w:ascii="仿宋" w:hAnsi="仿宋" w:cs="仿宋" w:eastAsia="仿宋"/>
                <w:sz w:val="24"/>
              </w:rPr>
              <w:t>（</w:t>
            </w:r>
            <w:r>
              <w:rPr>
                <w:rFonts w:ascii="仿宋" w:hAnsi="仿宋" w:cs="仿宋" w:eastAsia="仿宋"/>
                <w:sz w:val="24"/>
              </w:rPr>
              <w:t>2）建立、健全各项规章制度；负责整体业务管理和建设；</w:t>
            </w:r>
          </w:p>
          <w:p>
            <w:pPr>
              <w:pStyle w:val="null3"/>
              <w:jc w:val="both"/>
            </w:pPr>
            <w:r>
              <w:rPr>
                <w:rFonts w:ascii="仿宋" w:hAnsi="仿宋" w:cs="仿宋" w:eastAsia="仿宋"/>
                <w:sz w:val="24"/>
              </w:rPr>
              <w:t>（</w:t>
            </w:r>
            <w:r>
              <w:rPr>
                <w:rFonts w:ascii="仿宋" w:hAnsi="仿宋" w:cs="仿宋" w:eastAsia="仿宋"/>
                <w:sz w:val="24"/>
              </w:rPr>
              <w:t>3）总体协调工程进度所需的各项资源，负责外联单位、客户协调、其他软件厂商对接事项沟通；</w:t>
            </w:r>
          </w:p>
          <w:p>
            <w:pPr>
              <w:pStyle w:val="null3"/>
              <w:jc w:val="both"/>
            </w:pPr>
            <w:r>
              <w:rPr>
                <w:rFonts w:ascii="仿宋" w:hAnsi="仿宋" w:cs="仿宋" w:eastAsia="仿宋"/>
                <w:sz w:val="24"/>
              </w:rPr>
              <w:t>（</w:t>
            </w:r>
            <w:r>
              <w:rPr>
                <w:rFonts w:ascii="仿宋" w:hAnsi="仿宋" w:cs="仿宋" w:eastAsia="仿宋"/>
                <w:sz w:val="24"/>
              </w:rPr>
              <w:t>4）对系统维护工作进行审计、验收。</w:t>
            </w:r>
          </w:p>
        </w:tc>
      </w:tr>
      <w:tr>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软件开发工程师【指标</w:t>
            </w:r>
            <w:r>
              <w:rPr>
                <w:rFonts w:ascii="仿宋" w:hAnsi="仿宋" w:cs="仿宋" w:eastAsia="仿宋"/>
                <w:sz w:val="24"/>
              </w:rPr>
              <w:t>13】</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1人</w:t>
            </w:r>
          </w:p>
        </w:tc>
        <w:tc>
          <w:tcPr>
            <w:tcW w:type="dxa" w:w="5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w:t>
            </w:r>
            <w:r>
              <w:rPr>
                <w:rFonts w:ascii="仿宋" w:hAnsi="仿宋" w:cs="仿宋" w:eastAsia="仿宋"/>
                <w:sz w:val="24"/>
              </w:rPr>
              <w:t>1）整体需求负责人，整体需求设计、需求指导及技术支持指导；</w:t>
            </w:r>
          </w:p>
          <w:p>
            <w:pPr>
              <w:pStyle w:val="null3"/>
              <w:jc w:val="both"/>
            </w:pPr>
            <w:r>
              <w:rPr>
                <w:rFonts w:ascii="仿宋" w:hAnsi="仿宋" w:cs="仿宋" w:eastAsia="仿宋"/>
                <w:sz w:val="24"/>
              </w:rPr>
              <w:t>（</w:t>
            </w:r>
            <w:r>
              <w:rPr>
                <w:rFonts w:ascii="仿宋" w:hAnsi="仿宋" w:cs="仿宋" w:eastAsia="仿宋"/>
                <w:sz w:val="24"/>
              </w:rPr>
              <w:t>2）负责完成小规模开发功能模块软件需求规格说明书及项目相关文档编写；</w:t>
            </w:r>
          </w:p>
          <w:p>
            <w:pPr>
              <w:pStyle w:val="null3"/>
              <w:jc w:val="both"/>
            </w:pPr>
            <w:r>
              <w:rPr>
                <w:rFonts w:ascii="仿宋" w:hAnsi="仿宋" w:cs="仿宋" w:eastAsia="仿宋"/>
                <w:sz w:val="24"/>
              </w:rPr>
              <w:t>（</w:t>
            </w:r>
            <w:r>
              <w:rPr>
                <w:rFonts w:ascii="仿宋" w:hAnsi="仿宋" w:cs="仿宋" w:eastAsia="仿宋"/>
                <w:sz w:val="24"/>
              </w:rPr>
              <w:t>3）配合公司研发中心项目开发组，指导完成软件设计开发、接口开发；</w:t>
            </w:r>
          </w:p>
          <w:p>
            <w:pPr>
              <w:pStyle w:val="null3"/>
              <w:jc w:val="both"/>
            </w:pPr>
            <w:r>
              <w:rPr>
                <w:rFonts w:ascii="仿宋" w:hAnsi="仿宋" w:cs="仿宋" w:eastAsia="仿宋"/>
                <w:sz w:val="24"/>
              </w:rPr>
              <w:t>（</w:t>
            </w:r>
            <w:r>
              <w:rPr>
                <w:rFonts w:ascii="仿宋" w:hAnsi="仿宋" w:cs="仿宋" w:eastAsia="仿宋"/>
                <w:sz w:val="24"/>
              </w:rPr>
              <w:t>4）配合用户测试组，指导完成系统验收测试。</w:t>
            </w:r>
          </w:p>
          <w:p>
            <w:pPr>
              <w:pStyle w:val="null3"/>
              <w:jc w:val="both"/>
            </w:pPr>
            <w:r>
              <w:rPr>
                <w:rFonts w:ascii="仿宋" w:hAnsi="仿宋" w:cs="仿宋" w:eastAsia="仿宋"/>
                <w:sz w:val="24"/>
              </w:rPr>
              <w:t>（</w:t>
            </w:r>
            <w:r>
              <w:rPr>
                <w:rFonts w:ascii="仿宋" w:hAnsi="仿宋" w:cs="仿宋" w:eastAsia="仿宋"/>
                <w:sz w:val="24"/>
              </w:rPr>
              <w:t>5）负责完成系统用户使用手册及培训。</w:t>
            </w:r>
          </w:p>
        </w:tc>
      </w:tr>
      <w:tr>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运维人员</w:t>
            </w:r>
          </w:p>
          <w:p>
            <w:pPr>
              <w:pStyle w:val="null3"/>
              <w:jc w:val="both"/>
            </w:pPr>
            <w:r>
              <w:rPr>
                <w:rFonts w:ascii="仿宋" w:hAnsi="仿宋" w:cs="仿宋" w:eastAsia="仿宋"/>
                <w:sz w:val="24"/>
              </w:rPr>
              <w:t>【指标</w:t>
            </w:r>
            <w:r>
              <w:rPr>
                <w:rFonts w:ascii="仿宋" w:hAnsi="仿宋" w:cs="仿宋" w:eastAsia="仿宋"/>
                <w:sz w:val="24"/>
              </w:rPr>
              <w:t>14】</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1人</w:t>
            </w:r>
          </w:p>
        </w:tc>
        <w:tc>
          <w:tcPr>
            <w:tcW w:type="dxa" w:w="5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w:t>
            </w:r>
            <w:r>
              <w:rPr>
                <w:rFonts w:ascii="仿宋" w:hAnsi="仿宋" w:cs="仿宋" w:eastAsia="仿宋"/>
                <w:sz w:val="24"/>
              </w:rPr>
              <w:t>1）系统日常运行运维的技术支撑工作，包括：系统巡检、补丁发布、客户服务；</w:t>
            </w:r>
          </w:p>
          <w:p>
            <w:pPr>
              <w:pStyle w:val="null3"/>
              <w:jc w:val="both"/>
            </w:pPr>
            <w:r>
              <w:rPr>
                <w:rFonts w:ascii="仿宋" w:hAnsi="仿宋" w:cs="仿宋" w:eastAsia="仿宋"/>
                <w:sz w:val="24"/>
              </w:rPr>
              <w:t>（</w:t>
            </w:r>
            <w:r>
              <w:rPr>
                <w:rFonts w:ascii="仿宋" w:hAnsi="仿宋" w:cs="仿宋" w:eastAsia="仿宋"/>
                <w:sz w:val="24"/>
              </w:rPr>
              <w:t>2）负责系统故障修复、性能优化、安全补丁、功能提升</w:t>
            </w:r>
          </w:p>
          <w:p>
            <w:pPr>
              <w:pStyle w:val="null3"/>
              <w:jc w:val="both"/>
            </w:pPr>
            <w:r>
              <w:rPr>
                <w:rFonts w:ascii="仿宋" w:hAnsi="仿宋" w:cs="仿宋" w:eastAsia="仿宋"/>
                <w:sz w:val="24"/>
              </w:rPr>
              <w:t>（</w:t>
            </w:r>
            <w:r>
              <w:rPr>
                <w:rFonts w:ascii="仿宋" w:hAnsi="仿宋" w:cs="仿宋" w:eastAsia="仿宋"/>
                <w:sz w:val="24"/>
              </w:rPr>
              <w:t>3）归档、管理所有项目文件；</w:t>
            </w:r>
          </w:p>
          <w:p>
            <w:pPr>
              <w:pStyle w:val="null3"/>
              <w:jc w:val="both"/>
            </w:pPr>
            <w:r>
              <w:rPr>
                <w:rFonts w:ascii="仿宋" w:hAnsi="仿宋" w:cs="仿宋" w:eastAsia="仿宋"/>
                <w:sz w:val="24"/>
              </w:rPr>
              <w:t>（</w:t>
            </w:r>
            <w:r>
              <w:rPr>
                <w:rFonts w:ascii="仿宋" w:hAnsi="仿宋" w:cs="仿宋" w:eastAsia="仿宋"/>
                <w:sz w:val="24"/>
              </w:rPr>
              <w:t>4）配合客户业务科室的数据服务临时报表和输出文档制作；</w:t>
            </w:r>
          </w:p>
          <w:p>
            <w:pPr>
              <w:pStyle w:val="null3"/>
              <w:jc w:val="both"/>
            </w:pPr>
            <w:r>
              <w:rPr>
                <w:rFonts w:ascii="仿宋" w:hAnsi="仿宋" w:cs="仿宋" w:eastAsia="仿宋"/>
                <w:sz w:val="24"/>
              </w:rPr>
              <w:t>（</w:t>
            </w:r>
            <w:r>
              <w:rPr>
                <w:rFonts w:ascii="仿宋" w:hAnsi="仿宋" w:cs="仿宋" w:eastAsia="仿宋"/>
                <w:sz w:val="24"/>
              </w:rPr>
              <w:t>5）其他日常事务处理。</w:t>
            </w:r>
          </w:p>
        </w:tc>
      </w:tr>
    </w:tbl>
    <w:p>
      <w:pPr>
        <w:pStyle w:val="null3"/>
        <w:ind w:left="570"/>
        <w:jc w:val="both"/>
      </w:pPr>
      <w:r>
        <w:rPr>
          <w:rFonts w:ascii="仿宋" w:hAnsi="仿宋" w:cs="仿宋" w:eastAsia="仿宋"/>
          <w:sz w:val="24"/>
          <w:b/>
        </w:rPr>
        <w:t>7.2.人员组织要求</w:t>
      </w:r>
    </w:p>
    <w:p>
      <w:pPr>
        <w:pStyle w:val="null3"/>
        <w:ind w:left="705"/>
        <w:jc w:val="both"/>
      </w:pPr>
      <w:r>
        <w:rPr>
          <w:rFonts w:ascii="仿宋" w:hAnsi="仿宋" w:cs="仿宋" w:eastAsia="仿宋"/>
          <w:sz w:val="24"/>
          <w:b/>
        </w:rPr>
        <w:t>7.2.1.运维工作具体要求</w:t>
      </w:r>
    </w:p>
    <w:p>
      <w:pPr>
        <w:pStyle w:val="null3"/>
        <w:ind w:firstLine="420"/>
        <w:jc w:val="both"/>
      </w:pPr>
      <w:r>
        <w:rPr>
          <w:rFonts w:ascii="仿宋" w:hAnsi="仿宋" w:cs="仿宋" w:eastAsia="仿宋"/>
          <w:sz w:val="24"/>
        </w:rPr>
        <w:t>为切实做好系统的运行运维工作，运维服务遵循以下要求进行实现：</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2588"/>
        <w:gridCol w:w="5718"/>
      </w:tblGrid>
      <w:tr>
        <w:tc>
          <w:tcPr>
            <w:tcW w:type="dxa" w:w="2588"/>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 w:hAnsi="仿宋" w:cs="仿宋" w:eastAsia="仿宋"/>
                <w:sz w:val="24"/>
                <w:b/>
              </w:rPr>
              <w:t>要求</w:t>
            </w:r>
          </w:p>
        </w:tc>
        <w:tc>
          <w:tcPr>
            <w:tcW w:type="dxa" w:w="5718"/>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 w:hAnsi="仿宋" w:cs="仿宋" w:eastAsia="仿宋"/>
                <w:sz w:val="24"/>
                <w:b/>
              </w:rPr>
              <w:t>说明</w:t>
            </w:r>
          </w:p>
        </w:tc>
      </w:tr>
      <w:tr>
        <w:tc>
          <w:tcPr>
            <w:tcW w:type="dxa" w:w="2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规范性要求【指标</w:t>
            </w:r>
            <w:r>
              <w:rPr>
                <w:rFonts w:ascii="仿宋" w:hAnsi="仿宋" w:cs="仿宋" w:eastAsia="仿宋"/>
                <w:sz w:val="24"/>
              </w:rPr>
              <w:t>15】</w:t>
            </w:r>
          </w:p>
        </w:tc>
        <w:tc>
          <w:tcPr>
            <w:tcW w:type="dxa" w:w="5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运维服务团队成员具有专业技术技能，严格按照运维服务流程提供服务</w:t>
            </w:r>
          </w:p>
        </w:tc>
      </w:tr>
      <w:tr>
        <w:tc>
          <w:tcPr>
            <w:tcW w:type="dxa" w:w="2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时限性要求【指标</w:t>
            </w:r>
            <w:r>
              <w:rPr>
                <w:rFonts w:ascii="仿宋" w:hAnsi="仿宋" w:cs="仿宋" w:eastAsia="仿宋"/>
                <w:sz w:val="24"/>
              </w:rPr>
              <w:t>16】</w:t>
            </w:r>
          </w:p>
        </w:tc>
        <w:tc>
          <w:tcPr>
            <w:tcW w:type="dxa" w:w="5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包括功能调整、问题改正、适应性修改、配置代码调整、小范围业务需求增加和变更、临时报表数据服务、大范围数据维护（如机构调整、数据合并）、补丁制作等。项目运维服务团队为用户提供</w:t>
            </w:r>
            <w:r>
              <w:rPr>
                <w:rFonts w:ascii="仿宋" w:hAnsi="仿宋" w:cs="仿宋" w:eastAsia="仿宋"/>
                <w:sz w:val="24"/>
              </w:rPr>
              <w:t>5×12小时响应反馈解决方案，并在招标人规定的时间内解决故障问题</w:t>
            </w:r>
          </w:p>
        </w:tc>
      </w:tr>
      <w:tr>
        <w:tc>
          <w:tcPr>
            <w:tcW w:type="dxa" w:w="2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保密要求【指标</w:t>
            </w:r>
            <w:r>
              <w:rPr>
                <w:rFonts w:ascii="仿宋" w:hAnsi="仿宋" w:cs="仿宋" w:eastAsia="仿宋"/>
                <w:sz w:val="24"/>
              </w:rPr>
              <w:t>17】</w:t>
            </w:r>
          </w:p>
        </w:tc>
        <w:tc>
          <w:tcPr>
            <w:tcW w:type="dxa" w:w="5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进行系统运维服务过程中，做好相关技术资料（配置文件、密码、数据等）的保密工作，不得外泄给第三方</w:t>
            </w:r>
          </w:p>
        </w:tc>
      </w:tr>
    </w:tbl>
    <w:p>
      <w:pPr>
        <w:pStyle w:val="null3"/>
        <w:jc w:val="both"/>
      </w:pPr>
      <w:r>
        <w:rPr>
          <w:rFonts w:ascii="仿宋" w:hAnsi="仿宋" w:cs="仿宋" w:eastAsia="仿宋"/>
          <w:sz w:val="24"/>
          <w:b/>
        </w:rPr>
        <w:t>★8.交付成果【指标18】</w:t>
      </w:r>
    </w:p>
    <w:p>
      <w:pPr>
        <w:pStyle w:val="null3"/>
        <w:ind w:firstLine="480"/>
        <w:jc w:val="both"/>
      </w:pPr>
      <w:r>
        <w:rPr>
          <w:rFonts w:ascii="仿宋" w:hAnsi="仿宋" w:cs="仿宋" w:eastAsia="仿宋"/>
          <w:sz w:val="24"/>
        </w:rPr>
        <w:t>按照软件维护服务范围进行软件维护服务，主要包括日常操作使用技术支持、软件故障问题处理、补丁包升级、系统功能优化，对信息系统接口进行日常监测，及时响应外部接口标准变化，及时更新数据接口。需交付成果如下：</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681"/>
        <w:gridCol w:w="1347"/>
        <w:gridCol w:w="4327"/>
        <w:gridCol w:w="1952"/>
      </w:tblGrid>
      <w:tr>
        <w:tc>
          <w:tcPr>
            <w:tcW w:type="dxa" w:w="681"/>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 w:hAnsi="仿宋" w:cs="仿宋" w:eastAsia="仿宋"/>
                <w:sz w:val="24"/>
                <w:b/>
              </w:rPr>
              <w:t>序号</w:t>
            </w:r>
          </w:p>
        </w:tc>
        <w:tc>
          <w:tcPr>
            <w:tcW w:type="dxa" w:w="1347"/>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 w:hAnsi="仿宋" w:cs="仿宋" w:eastAsia="仿宋"/>
                <w:sz w:val="24"/>
                <w:b/>
              </w:rPr>
              <w:t>服务运维方案</w:t>
            </w:r>
          </w:p>
        </w:tc>
        <w:tc>
          <w:tcPr>
            <w:tcW w:type="dxa" w:w="4327"/>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 w:hAnsi="仿宋" w:cs="仿宋" w:eastAsia="仿宋"/>
                <w:sz w:val="24"/>
                <w:b/>
              </w:rPr>
              <w:t>服务内容</w:t>
            </w:r>
          </w:p>
        </w:tc>
        <w:tc>
          <w:tcPr>
            <w:tcW w:type="dxa" w:w="1952"/>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 w:hAnsi="仿宋" w:cs="仿宋" w:eastAsia="仿宋"/>
                <w:sz w:val="24"/>
                <w:b/>
              </w:rPr>
              <w:t>交付成果</w:t>
            </w: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1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日常操作使用技术支持</w:t>
            </w:r>
          </w:p>
        </w:tc>
        <w:tc>
          <w:tcPr>
            <w:tcW w:type="dxa" w:w="4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1、提供对应的技术咨询、系统备份；</w:t>
            </w:r>
            <w:r>
              <w:br/>
            </w:r>
            <w:r>
              <w:rPr>
                <w:rFonts w:ascii="仿宋" w:hAnsi="仿宋" w:cs="仿宋" w:eastAsia="仿宋"/>
                <w:sz w:val="24"/>
              </w:rPr>
              <w:t>2、对系统进行日常巡检；</w:t>
            </w:r>
            <w:r>
              <w:br/>
            </w:r>
            <w:r>
              <w:rPr>
                <w:rFonts w:ascii="仿宋" w:hAnsi="仿宋" w:cs="仿宋" w:eastAsia="仿宋"/>
                <w:sz w:val="24"/>
              </w:rPr>
              <w:t>3、按需提供各业务处室及各级执法机构所需要数据的提取与报表的整理；</w:t>
            </w:r>
            <w:r>
              <w:br/>
            </w:r>
            <w:r>
              <w:rPr>
                <w:rFonts w:ascii="仿宋" w:hAnsi="仿宋" w:cs="仿宋" w:eastAsia="仿宋"/>
                <w:sz w:val="24"/>
              </w:rPr>
              <w:t>4、按需对会议支撑；</w:t>
            </w:r>
            <w:r>
              <w:br/>
            </w:r>
            <w:r>
              <w:rPr>
                <w:rFonts w:ascii="仿宋" w:hAnsi="仿宋" w:cs="仿宋" w:eastAsia="仿宋"/>
                <w:sz w:val="24"/>
              </w:rPr>
              <w:t>5、已有功能相关文档整理；</w:t>
            </w:r>
          </w:p>
          <w:p>
            <w:pPr>
              <w:pStyle w:val="null3"/>
              <w:jc w:val="left"/>
            </w:pPr>
            <w:r>
              <w:rPr>
                <w:rFonts w:ascii="仿宋" w:hAnsi="仿宋" w:cs="仿宋" w:eastAsia="仿宋"/>
                <w:sz w:val="24"/>
              </w:rPr>
              <w:t>6、各类新增业务功能推广应用中的技术培训。</w:t>
            </w:r>
          </w:p>
        </w:tc>
        <w:tc>
          <w:tcPr>
            <w:tcW w:type="dxa" w:w="19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工作文档：</w:t>
            </w:r>
          </w:p>
          <w:p>
            <w:pPr>
              <w:pStyle w:val="null3"/>
              <w:jc w:val="left"/>
            </w:pPr>
            <w:r>
              <w:rPr>
                <w:rFonts w:ascii="仿宋" w:hAnsi="仿宋" w:cs="仿宋" w:eastAsia="仿宋"/>
                <w:sz w:val="24"/>
              </w:rPr>
              <w:t>每半年提交材料</w:t>
            </w:r>
            <w:r>
              <w:rPr>
                <w:rFonts w:ascii="仿宋" w:hAnsi="仿宋" w:cs="仿宋" w:eastAsia="仿宋"/>
                <w:sz w:val="24"/>
              </w:rPr>
              <w:t>1份；包含：</w:t>
            </w:r>
          </w:p>
          <w:p>
            <w:pPr>
              <w:pStyle w:val="null3"/>
              <w:jc w:val="left"/>
            </w:pPr>
            <w:r>
              <w:rPr>
                <w:rFonts w:ascii="仿宋" w:hAnsi="仿宋" w:cs="仿宋" w:eastAsia="仿宋"/>
                <w:sz w:val="24"/>
              </w:rPr>
              <w:t>1、《补丁更新报告》2、《日常巡检报告》3、按需提供相应的运维材料；</w:t>
            </w: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1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软件故障问题处理</w:t>
            </w:r>
          </w:p>
        </w:tc>
        <w:tc>
          <w:tcPr>
            <w:tcW w:type="dxa" w:w="4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对发现的软件故障问题需做好应急方案，及时提单处理</w:t>
            </w:r>
          </w:p>
        </w:tc>
        <w:tc>
          <w:tcPr>
            <w:tcW w:type="dxa" w:w="1952"/>
            <w:vMerge/>
            <w:tcBorders>
              <w:top w:val="none" w:color="000000" w:sz="4"/>
              <w:left w:val="none" w:color="000000" w:sz="4"/>
              <w:bottom w:val="single" w:color="000000" w:sz="4"/>
              <w:right w:val="single" w:color="000000" w:sz="4"/>
            </w:tcBorders>
          </w:tc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1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补丁包升级</w:t>
            </w:r>
          </w:p>
        </w:tc>
        <w:tc>
          <w:tcPr>
            <w:tcW w:type="dxa" w:w="4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日常的</w:t>
            </w:r>
            <w:r>
              <w:rPr>
                <w:rFonts w:ascii="仿宋" w:hAnsi="仿宋" w:cs="仿宋" w:eastAsia="仿宋"/>
                <w:sz w:val="24"/>
              </w:rPr>
              <w:t>bug修复和性能优化（含应用系统安全测试修复、网站安全测试修复），已经优化后的补丁投放运维工作</w:t>
            </w:r>
          </w:p>
        </w:tc>
        <w:tc>
          <w:tcPr>
            <w:tcW w:type="dxa" w:w="1952"/>
            <w:vMerge/>
            <w:tcBorders>
              <w:top w:val="none" w:color="000000" w:sz="4"/>
              <w:left w:val="none" w:color="000000" w:sz="4"/>
              <w:bottom w:val="single" w:color="000000" w:sz="4"/>
              <w:right w:val="single" w:color="000000" w:sz="4"/>
            </w:tcBorders>
          </w:tcPr>
          <w:p/>
        </w:tc>
      </w:tr>
      <w:tr>
        <w:tc>
          <w:tcPr>
            <w:tcW w:type="dxa" w:w="6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w:t>
            </w:r>
          </w:p>
        </w:tc>
        <w:tc>
          <w:tcPr>
            <w:tcW w:type="dxa" w:w="13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系统功能优化</w:t>
            </w:r>
          </w:p>
        </w:tc>
        <w:tc>
          <w:tcPr>
            <w:tcW w:type="dxa" w:w="432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 w:hAnsi="仿宋" w:cs="仿宋" w:eastAsia="仿宋"/>
                <w:sz w:val="24"/>
              </w:rPr>
              <w:t>（</w:t>
            </w:r>
            <w:r>
              <w:rPr>
                <w:rFonts w:ascii="仿宋" w:hAnsi="仿宋" w:cs="仿宋" w:eastAsia="仿宋"/>
                <w:sz w:val="24"/>
              </w:rPr>
              <w:t>1） 便捷化智能化提升</w:t>
            </w:r>
            <w:r>
              <w:br/>
            </w:r>
            <w:r>
              <w:rPr>
                <w:rFonts w:ascii="仿宋" w:hAnsi="仿宋" w:cs="仿宋" w:eastAsia="仿宋"/>
                <w:sz w:val="24"/>
              </w:rPr>
              <w:t>a 操作界面优化（WEB、APP）</w:t>
            </w:r>
            <w:r>
              <w:br/>
            </w:r>
            <w:r>
              <w:rPr>
                <w:rFonts w:ascii="仿宋" w:hAnsi="仿宋" w:cs="仿宋" w:eastAsia="仿宋"/>
                <w:sz w:val="24"/>
              </w:rPr>
              <w:t>操作界面进行分析，根据角色和处理业务工作的类型，操作界面内容显示具有明显的针对性，自动隐藏针对性不强的字段，突出主题内容，提高操作的高效便捷性。</w:t>
            </w:r>
            <w:r>
              <w:br/>
            </w:r>
            <w:r>
              <w:rPr>
                <w:rFonts w:ascii="仿宋" w:hAnsi="仿宋" w:cs="仿宋" w:eastAsia="仿宋"/>
                <w:sz w:val="24"/>
              </w:rPr>
              <w:t>b 数据输入自动化</w:t>
            </w:r>
            <w:r>
              <w:br/>
            </w:r>
            <w:r>
              <w:rPr>
                <w:rFonts w:ascii="仿宋" w:hAnsi="仿宋" w:cs="仿宋" w:eastAsia="仿宋"/>
                <w:sz w:val="24"/>
              </w:rPr>
              <w:t>优化案件办理相关操作，对原有的需手工录入字段进行详细分析，尽量自动从基础数据库中获取或结合实际案件由程序自动生成</w:t>
            </w:r>
          </w:p>
        </w:tc>
        <w:tc>
          <w:tcPr>
            <w:tcW w:type="dxa" w:w="1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工作文档：</w:t>
            </w:r>
            <w:r>
              <w:br/>
            </w:r>
            <w:r>
              <w:rPr>
                <w:rFonts w:ascii="仿宋" w:hAnsi="仿宋" w:cs="仿宋" w:eastAsia="仿宋"/>
                <w:sz w:val="24"/>
              </w:rPr>
              <w:t>每半年按需提交材料：《系统便捷化自动化提升工作报告》</w:t>
            </w:r>
          </w:p>
        </w:tc>
      </w:tr>
      <w:tr>
        <w:tc>
          <w:tcPr>
            <w:tcW w:type="dxa" w:w="681"/>
            <w:vMerge/>
            <w:tcBorders>
              <w:top w:val="none" w:color="000000" w:sz="4"/>
              <w:left w:val="single" w:color="000000" w:sz="4"/>
              <w:bottom w:val="single" w:color="000000" w:sz="4"/>
              <w:right w:val="single" w:color="000000" w:sz="4"/>
            </w:tcBorders>
          </w:tcPr>
          <w:p/>
        </w:tc>
        <w:tc>
          <w:tcPr>
            <w:tcW w:type="dxa" w:w="1347"/>
            <w:vMerge/>
            <w:tcBorders>
              <w:top w:val="none" w:color="000000" w:sz="4"/>
              <w:left w:val="none" w:color="000000" w:sz="4"/>
              <w:bottom w:val="single" w:color="000000" w:sz="4"/>
              <w:right w:val="single" w:color="000000" w:sz="4"/>
            </w:tcBorders>
          </w:tcPr>
          <w:p/>
        </w:tc>
        <w:tc>
          <w:tcPr>
            <w:tcW w:type="dxa" w:w="4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w:t>
            </w:r>
            <w:r>
              <w:rPr>
                <w:rFonts w:ascii="仿宋" w:hAnsi="仿宋" w:cs="仿宋" w:eastAsia="仿宋"/>
                <w:sz w:val="24"/>
              </w:rPr>
              <w:t>2） 服务器应用数据优化，系统响应速度优化</w:t>
            </w:r>
            <w:r>
              <w:br/>
            </w:r>
            <w:r>
              <w:rPr>
                <w:rFonts w:ascii="仿宋" w:hAnsi="仿宋" w:cs="仿宋" w:eastAsia="仿宋"/>
                <w:sz w:val="24"/>
              </w:rPr>
              <w:t>1、按需对现有应用系统数据进行日常清理</w:t>
            </w:r>
            <w:r>
              <w:br/>
            </w:r>
            <w:r>
              <w:rPr>
                <w:rFonts w:ascii="仿宋" w:hAnsi="仿宋" w:cs="仿宋" w:eastAsia="仿宋"/>
                <w:sz w:val="24"/>
              </w:rPr>
              <w:t>2、定期对系统性能进行检测并调整优化</w:t>
            </w:r>
          </w:p>
        </w:tc>
        <w:tc>
          <w:tcPr>
            <w:tcW w:type="dxa" w:w="1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每半年按需提交《服务器应用数据优化工作报告》</w:t>
            </w:r>
          </w:p>
        </w:tc>
      </w:tr>
      <w:tr>
        <w:tc>
          <w:tcPr>
            <w:tcW w:type="dxa" w:w="681"/>
            <w:vMerge/>
            <w:tcBorders>
              <w:top w:val="none" w:color="000000" w:sz="4"/>
              <w:left w:val="single" w:color="000000" w:sz="4"/>
              <w:bottom w:val="single" w:color="000000" w:sz="4"/>
              <w:right w:val="single" w:color="000000" w:sz="4"/>
            </w:tcBorders>
          </w:tcPr>
          <w:p/>
        </w:tc>
        <w:tc>
          <w:tcPr>
            <w:tcW w:type="dxa" w:w="1347"/>
            <w:vMerge/>
            <w:tcBorders>
              <w:top w:val="none" w:color="000000" w:sz="4"/>
              <w:left w:val="none" w:color="000000" w:sz="4"/>
              <w:bottom w:val="single" w:color="000000" w:sz="4"/>
              <w:right w:val="single" w:color="000000" w:sz="4"/>
            </w:tcBorders>
          </w:tcPr>
          <w:p/>
        </w:tc>
        <w:tc>
          <w:tcPr>
            <w:tcW w:type="dxa" w:w="4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w:t>
            </w:r>
            <w:r>
              <w:rPr>
                <w:rFonts w:ascii="仿宋" w:hAnsi="仿宋" w:cs="仿宋" w:eastAsia="仿宋"/>
                <w:sz w:val="24"/>
              </w:rPr>
              <w:t>3） 具体功能点优化</w:t>
            </w:r>
          </w:p>
          <w:p>
            <w:pPr>
              <w:pStyle w:val="null3"/>
              <w:jc w:val="left"/>
            </w:pPr>
            <w:r>
              <w:rPr>
                <w:rFonts w:ascii="仿宋" w:hAnsi="仿宋" w:cs="仿宋" w:eastAsia="仿宋"/>
                <w:sz w:val="24"/>
              </w:rPr>
              <w:t>运维服务期内，根据用户单位提出的具体要求进行优化</w:t>
            </w:r>
          </w:p>
        </w:tc>
        <w:tc>
          <w:tcPr>
            <w:tcW w:type="dxa" w:w="1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工作文档：每半年提供《</w:t>
            </w:r>
            <w:r>
              <w:rPr>
                <w:rFonts w:ascii="仿宋" w:hAnsi="仿宋" w:cs="仿宋" w:eastAsia="仿宋"/>
                <w:sz w:val="24"/>
              </w:rPr>
              <w:t>XXX功能点优化工作报告》</w:t>
            </w:r>
          </w:p>
        </w:tc>
      </w:tr>
    </w:tbl>
    <w:p>
      <w:pPr>
        <w:pStyle w:val="null3"/>
        <w:ind w:firstLine="560"/>
        <w:jc w:val="both"/>
      </w:pPr>
      <w:r>
        <w:rPr>
          <w:rFonts w:ascii="仿宋" w:hAnsi="仿宋" w:cs="仿宋" w:eastAsia="仿宋"/>
          <w:sz w:val="24"/>
        </w:rPr>
        <w:t>对系统现有接口运行情况进行日常监测，及时响应外部接口标准变化，及时更新数据接口，确保数据交互及时、准确，具体如下：</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669"/>
        <w:gridCol w:w="1114"/>
        <w:gridCol w:w="3804"/>
        <w:gridCol w:w="2719"/>
      </w:tblGrid>
      <w:tr>
        <w:tc>
          <w:tcPr>
            <w:tcW w:type="dxa" w:w="669"/>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 w:hAnsi="仿宋" w:cs="仿宋" w:eastAsia="仿宋"/>
                <w:sz w:val="24"/>
                <w:b/>
              </w:rPr>
              <w:t>序号</w:t>
            </w:r>
          </w:p>
          <w:p>
            <w:pPr>
              <w:pStyle w:val="null3"/>
            </w:pPr>
            <w:r>
              <w:rPr>
                <w:rFonts w:ascii="&quot;times new roman&quot;" w:hAnsi="&quot;times new roman&quot;" w:cs="&quot;times new roman&quot;" w:eastAsia="&quot;times new roman&quot;"/>
                <w:sz w:val="19"/>
              </w:rPr>
              <w:t xml:space="preserve"> </w:t>
            </w:r>
          </w:p>
        </w:tc>
        <w:tc>
          <w:tcPr>
            <w:tcW w:type="dxa" w:w="1114"/>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 w:hAnsi="仿宋" w:cs="仿宋" w:eastAsia="仿宋"/>
                <w:sz w:val="24"/>
                <w:b/>
              </w:rPr>
              <w:t>服务运维方案</w:t>
            </w:r>
          </w:p>
        </w:tc>
        <w:tc>
          <w:tcPr>
            <w:tcW w:type="dxa" w:w="3804"/>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 w:hAnsi="仿宋" w:cs="仿宋" w:eastAsia="仿宋"/>
                <w:sz w:val="24"/>
                <w:b/>
              </w:rPr>
              <w:t>服务内容</w:t>
            </w:r>
          </w:p>
        </w:tc>
        <w:tc>
          <w:tcPr>
            <w:tcW w:type="dxa" w:w="2719"/>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 w:hAnsi="仿宋" w:cs="仿宋" w:eastAsia="仿宋"/>
                <w:sz w:val="24"/>
                <w:b/>
              </w:rPr>
              <w:t>交付成果</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现有数据接口运行维护及数据资源目录维护【指标</w:t>
            </w:r>
            <w:r>
              <w:rPr>
                <w:rFonts w:ascii="仿宋" w:hAnsi="仿宋" w:cs="仿宋" w:eastAsia="仿宋"/>
                <w:sz w:val="24"/>
              </w:rPr>
              <w:t>23】</w:t>
            </w:r>
          </w:p>
        </w:tc>
        <w:tc>
          <w:tcPr>
            <w:tcW w:type="dxa" w:w="3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目前已实现数据对接的有：部治超平台、部执法案件数据交换平台、闽执法平台、厅</w:t>
            </w:r>
            <w:r>
              <w:rPr>
                <w:rFonts w:ascii="仿宋" w:hAnsi="仿宋" w:cs="仿宋" w:eastAsia="仿宋"/>
                <w:sz w:val="24"/>
              </w:rPr>
              <w:t>TOCC可视化大屏平台等；</w:t>
            </w:r>
          </w:p>
          <w:p>
            <w:pPr>
              <w:pStyle w:val="null3"/>
              <w:jc w:val="left"/>
            </w:pPr>
            <w:r>
              <w:rPr>
                <w:rFonts w:ascii="仿宋" w:hAnsi="仿宋" w:cs="仿宋" w:eastAsia="仿宋"/>
                <w:sz w:val="24"/>
              </w:rPr>
              <w:t>1．如业务工作变化，对已有接口进行修改完善，并协调外围系统配合，进行联调上线；</w:t>
            </w:r>
            <w:r>
              <w:br/>
            </w:r>
            <w:r>
              <w:rPr>
                <w:rFonts w:ascii="仿宋" w:hAnsi="仿宋" w:cs="仿宋" w:eastAsia="仿宋"/>
                <w:sz w:val="24"/>
              </w:rPr>
              <w:t>2.检查接口运行情况，及时处理接口故障，保障数据及时、准确、安全传输。</w:t>
            </w:r>
          </w:p>
        </w:tc>
        <w:tc>
          <w:tcPr>
            <w:tcW w:type="dxa" w:w="2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每月提供工作文档：</w:t>
            </w:r>
          </w:p>
          <w:p>
            <w:pPr>
              <w:pStyle w:val="null3"/>
              <w:jc w:val="left"/>
            </w:pPr>
            <w:r>
              <w:rPr>
                <w:rFonts w:ascii="仿宋" w:hAnsi="仿宋" w:cs="仿宋" w:eastAsia="仿宋"/>
                <w:sz w:val="24"/>
              </w:rPr>
              <w:t>1、《数据接口巡查情况表》；</w:t>
            </w:r>
          </w:p>
          <w:p>
            <w:pPr>
              <w:pStyle w:val="null3"/>
              <w:jc w:val="left"/>
            </w:pPr>
            <w:r>
              <w:rPr>
                <w:rFonts w:ascii="仿宋" w:hAnsi="仿宋" w:cs="仿宋" w:eastAsia="仿宋"/>
                <w:sz w:val="24"/>
              </w:rPr>
              <w:t>2、《厅汇聚平台数据更新工作报告》</w:t>
            </w:r>
          </w:p>
          <w:p>
            <w:pPr>
              <w:pStyle w:val="null3"/>
              <w:jc w:val="left"/>
            </w:pPr>
            <w:r>
              <w:rPr>
                <w:rFonts w:ascii="仿宋" w:hAnsi="仿宋" w:cs="仿宋" w:eastAsia="仿宋"/>
                <w:sz w:val="24"/>
              </w:rPr>
              <w:t>3、《省汇聚平台数据更新工作报告》；</w:t>
            </w:r>
          </w:p>
          <w:p>
            <w:pPr>
              <w:pStyle w:val="null3"/>
              <w:jc w:val="left"/>
            </w:pPr>
            <w:r>
              <w:rPr>
                <w:rFonts w:ascii="仿宋" w:hAnsi="仿宋" w:cs="仿宋" w:eastAsia="仿宋"/>
                <w:sz w:val="24"/>
              </w:rPr>
              <w:t>4、《省互联网+监管平台数据更新工作报告》</w:t>
            </w:r>
          </w:p>
        </w:tc>
      </w:tr>
    </w:tbl>
    <w:p>
      <w:pPr>
        <w:pStyle w:val="null3"/>
        <w:jc w:val="both"/>
      </w:pPr>
      <w:r>
        <w:rPr>
          <w:rFonts w:ascii="仿宋" w:hAnsi="仿宋" w:cs="仿宋" w:eastAsia="仿宋"/>
          <w:sz w:val="24"/>
          <w:b/>
        </w:rPr>
        <w:t>★9、考核验收【指标</w:t>
      </w:r>
      <w:r>
        <w:rPr>
          <w:rFonts w:ascii="仿宋" w:hAnsi="仿宋" w:cs="仿宋" w:eastAsia="仿宋"/>
          <w:sz w:val="24"/>
          <w:b/>
        </w:rPr>
        <w:t>19</w:t>
      </w:r>
      <w:r>
        <w:rPr>
          <w:rFonts w:ascii="仿宋" w:hAnsi="仿宋" w:cs="仿宋" w:eastAsia="仿宋"/>
          <w:sz w:val="24"/>
          <w:b/>
        </w:rPr>
        <w:t>】</w:t>
      </w:r>
    </w:p>
    <w:p>
      <w:pPr>
        <w:pStyle w:val="null3"/>
        <w:ind w:firstLine="420"/>
        <w:jc w:val="both"/>
      </w:pPr>
      <w:r>
        <w:rPr>
          <w:rFonts w:ascii="仿宋" w:hAnsi="仿宋" w:cs="仿宋" w:eastAsia="仿宋"/>
          <w:sz w:val="24"/>
        </w:rPr>
        <w:t>为保障服务商提供优质高效的运维服务，中心将对运维服务进行考核评分，若服务商未能提供优质的服务（即运维考核结果评分得分低于</w:t>
      </w:r>
      <w:r>
        <w:rPr>
          <w:rFonts w:ascii="仿宋" w:hAnsi="仿宋" w:cs="仿宋" w:eastAsia="仿宋"/>
          <w:sz w:val="24"/>
        </w:rPr>
        <w:t>90分），则需承担相应违约责任。服务期满后，按以下标准对服务商本周期内的服务情况进行考核评价(总分100分)。</w:t>
      </w:r>
    </w:p>
    <w:p>
      <w:pPr>
        <w:pStyle w:val="null3"/>
        <w:ind w:firstLine="420"/>
        <w:jc w:val="both"/>
      </w:pPr>
      <w:r>
        <w:rPr>
          <w:rFonts w:ascii="仿宋" w:hAnsi="仿宋" w:cs="仿宋" w:eastAsia="仿宋"/>
          <w:sz w:val="24"/>
          <w:b/>
        </w:rPr>
        <w:t>考核评分表</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682"/>
        <w:gridCol w:w="1258"/>
        <w:gridCol w:w="803"/>
        <w:gridCol w:w="5563"/>
      </w:tblGrid>
      <w:tr>
        <w:tc>
          <w:tcPr>
            <w:tcW w:type="dxa" w:w="1940"/>
            <w:gridSpan w:val="2"/>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 w:hAnsi="仿宋" w:cs="仿宋" w:eastAsia="仿宋"/>
                <w:sz w:val="24"/>
                <w:b/>
              </w:rPr>
              <w:t>考核内容</w:t>
            </w:r>
          </w:p>
        </w:tc>
        <w:tc>
          <w:tcPr>
            <w:tcW w:type="dxa" w:w="803"/>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 w:hAnsi="仿宋" w:cs="仿宋" w:eastAsia="仿宋"/>
                <w:sz w:val="24"/>
                <w:b/>
              </w:rPr>
              <w:t>评分</w:t>
            </w:r>
          </w:p>
        </w:tc>
        <w:tc>
          <w:tcPr>
            <w:tcW w:type="dxa" w:w="5563"/>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 w:hAnsi="仿宋" w:cs="仿宋" w:eastAsia="仿宋"/>
                <w:sz w:val="24"/>
                <w:b/>
              </w:rPr>
              <w:t>评分标准</w:t>
            </w:r>
          </w:p>
        </w:tc>
      </w:tr>
      <w:tr>
        <w:tc>
          <w:tcPr>
            <w:tcW w:type="dxa" w:w="6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总体</w:t>
            </w:r>
          </w:p>
          <w:p>
            <w:pPr>
              <w:pStyle w:val="null3"/>
              <w:jc w:val="both"/>
            </w:pPr>
            <w:r>
              <w:rPr>
                <w:rFonts w:ascii="仿宋" w:hAnsi="仿宋" w:cs="仿宋" w:eastAsia="仿宋"/>
                <w:sz w:val="24"/>
              </w:rPr>
              <w:t>评价</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服务态度（</w:t>
            </w:r>
            <w:r>
              <w:rPr>
                <w:rFonts w:ascii="仿宋" w:hAnsi="仿宋" w:cs="仿宋" w:eastAsia="仿宋"/>
                <w:sz w:val="24"/>
              </w:rPr>
              <w:t>10分）</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服务态度不好，工作推诿，服务用语不文明，被用户投诉一次扣</w:t>
            </w:r>
            <w:r>
              <w:rPr>
                <w:rFonts w:ascii="仿宋" w:hAnsi="仿宋" w:cs="仿宋" w:eastAsia="仿宋"/>
                <w:sz w:val="24"/>
              </w:rPr>
              <w:t>2分；</w:t>
            </w:r>
          </w:p>
        </w:tc>
      </w:tr>
      <w:tr>
        <w:tc>
          <w:tcPr>
            <w:tcW w:type="dxa" w:w="682"/>
            <w:vMerge/>
            <w:tcBorders>
              <w:top w:val="none" w:color="000000" w:sz="4"/>
              <w:left w:val="single" w:color="000000" w:sz="4"/>
              <w:bottom w:val="single" w:color="000000" w:sz="4"/>
              <w:right w:val="single" w:color="000000" w:sz="4"/>
            </w:tcBorders>
          </w:tcP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响应速度（</w:t>
            </w:r>
            <w:r>
              <w:rPr>
                <w:rFonts w:ascii="仿宋" w:hAnsi="仿宋" w:cs="仿宋" w:eastAsia="仿宋"/>
                <w:sz w:val="24"/>
              </w:rPr>
              <w:t>10分）</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未及时受理运维任务，被用户投诉一次扣</w:t>
            </w:r>
            <w:r>
              <w:rPr>
                <w:rFonts w:ascii="仿宋" w:hAnsi="仿宋" w:cs="仿宋" w:eastAsia="仿宋"/>
                <w:sz w:val="24"/>
              </w:rPr>
              <w:t>2分；无正当理由，不及时接听运维电话，或在运维群里超过两小时未回应用户咨询，每次扣1分；运维工单超时的，每次扣1分；</w:t>
            </w:r>
          </w:p>
        </w:tc>
      </w:tr>
      <w:tr>
        <w:tc>
          <w:tcPr>
            <w:tcW w:type="dxa" w:w="6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具体</w:t>
            </w:r>
          </w:p>
          <w:p>
            <w:pPr>
              <w:pStyle w:val="null3"/>
              <w:jc w:val="both"/>
            </w:pPr>
            <w:r>
              <w:rPr>
                <w:rFonts w:ascii="仿宋" w:hAnsi="仿宋" w:cs="仿宋" w:eastAsia="仿宋"/>
                <w:sz w:val="24"/>
              </w:rPr>
              <w:t>业务</w:t>
            </w:r>
          </w:p>
          <w:p>
            <w:pPr>
              <w:pStyle w:val="null3"/>
              <w:jc w:val="both"/>
            </w:pPr>
            <w:r>
              <w:rPr>
                <w:rFonts w:ascii="仿宋" w:hAnsi="仿宋" w:cs="仿宋" w:eastAsia="仿宋"/>
                <w:sz w:val="24"/>
              </w:rPr>
              <w:t>运维</w:t>
            </w:r>
          </w:p>
          <w:p>
            <w:pPr>
              <w:pStyle w:val="null3"/>
              <w:jc w:val="both"/>
            </w:pPr>
            <w:r>
              <w:rPr>
                <w:rFonts w:ascii="仿宋" w:hAnsi="仿宋" w:cs="仿宋" w:eastAsia="仿宋"/>
                <w:sz w:val="24"/>
              </w:rPr>
              <w:t>服务</w:t>
            </w:r>
          </w:p>
          <w:p>
            <w:pPr>
              <w:pStyle w:val="null3"/>
              <w:jc w:val="both"/>
            </w:pPr>
            <w:r>
              <w:rPr>
                <w:rFonts w:ascii="仿宋" w:hAnsi="仿宋" w:cs="仿宋" w:eastAsia="仿宋"/>
                <w:sz w:val="24"/>
              </w:rPr>
              <w:t>质量</w:t>
            </w:r>
          </w:p>
          <w:p>
            <w:pPr>
              <w:pStyle w:val="null3"/>
              <w:jc w:val="both"/>
            </w:pPr>
            <w:r>
              <w:rPr>
                <w:rFonts w:ascii="仿宋" w:hAnsi="仿宋" w:cs="仿宋" w:eastAsia="仿宋"/>
                <w:sz w:val="24"/>
              </w:rPr>
              <w:t>评价</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综合执法信息系统一、二</w:t>
            </w:r>
            <w:r>
              <w:rPr>
                <w:rFonts w:ascii="仿宋" w:hAnsi="仿宋" w:cs="仿宋" w:eastAsia="仿宋"/>
                <w:sz w:val="24"/>
              </w:rPr>
              <w:t>、三</w:t>
            </w:r>
            <w:r>
              <w:rPr>
                <w:rFonts w:ascii="仿宋" w:hAnsi="仿宋" w:cs="仿宋" w:eastAsia="仿宋"/>
                <w:sz w:val="24"/>
              </w:rPr>
              <w:t>期运维（</w:t>
            </w:r>
            <w:r>
              <w:rPr>
                <w:rFonts w:ascii="仿宋" w:hAnsi="仿宋" w:cs="仿宋" w:eastAsia="仿宋"/>
                <w:sz w:val="24"/>
              </w:rPr>
              <w:t>50分）</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系统优化、提升功能上线后，用户对修改的部分发现有缺陷的（一个缺陷只计一次），每次扣</w:t>
            </w:r>
            <w:r>
              <w:rPr>
                <w:rFonts w:ascii="仿宋" w:hAnsi="仿宋" w:cs="仿宋" w:eastAsia="仿宋"/>
                <w:sz w:val="24"/>
              </w:rPr>
              <w:t>1分；未及时优化数据库和服务器资源，造成系统运行缓慢，影响正常工作的，每次扣2分；系统故障未及时处理，用户重复反映两次以上的，每次扣2分；不配合开展安全问题处置的，每次扣2分。</w:t>
            </w:r>
          </w:p>
        </w:tc>
      </w:tr>
      <w:tr>
        <w:tc>
          <w:tcPr>
            <w:tcW w:type="dxa" w:w="682"/>
            <w:vMerge/>
            <w:tcBorders>
              <w:top w:val="none" w:color="000000" w:sz="4"/>
              <w:left w:val="single" w:color="000000" w:sz="4"/>
              <w:bottom w:val="single" w:color="000000" w:sz="4"/>
              <w:right w:val="single" w:color="000000" w:sz="4"/>
            </w:tcBorders>
          </w:tcP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交通综合执法信息系统接口及数据交换支撑（</w:t>
            </w:r>
            <w:r>
              <w:rPr>
                <w:rFonts w:ascii="仿宋" w:hAnsi="仿宋" w:cs="仿宋" w:eastAsia="仿宋"/>
                <w:sz w:val="24"/>
              </w:rPr>
              <w:t>30分）</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因管理不当，造成接口错误或接口设备运行不正常，数据无法正常传输，影响日常业务工作的，每次扣</w:t>
            </w:r>
            <w:r>
              <w:rPr>
                <w:rFonts w:ascii="仿宋" w:hAnsi="仿宋" w:cs="仿宋" w:eastAsia="仿宋"/>
                <w:sz w:val="24"/>
              </w:rPr>
              <w:t>3分；与外部数据交换质量不高，被对方要求重新传输数据的，每次扣1份；未完成新增接口开发，每个接口扣5分；数据资源目录和开放共享方面，每发现一个问题扣1分；不配合开展安全问题处置的，每次扣2分。</w:t>
            </w:r>
          </w:p>
        </w:tc>
      </w:tr>
      <w:tr>
        <w:tc>
          <w:tcPr>
            <w:tcW w:type="dxa" w:w="19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加分项（不超过</w:t>
            </w:r>
            <w:r>
              <w:rPr>
                <w:rFonts w:ascii="仿宋" w:hAnsi="仿宋" w:cs="仿宋" w:eastAsia="仿宋"/>
                <w:sz w:val="24"/>
              </w:rPr>
              <w:t>10分）</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维护团队配合完成大项活动，如展会、竞赛等，每项加</w:t>
            </w:r>
            <w:r>
              <w:rPr>
                <w:rFonts w:ascii="仿宋" w:hAnsi="仿宋" w:cs="仿宋" w:eastAsia="仿宋"/>
                <w:sz w:val="24"/>
              </w:rPr>
              <w:t>1-3分；运维方主动提出优化意见或规避重大风险方案的，并获得中心认可的，每项加1-2分。</w:t>
            </w:r>
          </w:p>
        </w:tc>
      </w:tr>
      <w:tr>
        <w:tc>
          <w:tcPr>
            <w:tcW w:type="dxa" w:w="830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加扣分原因说明：</w:t>
            </w:r>
          </w:p>
        </w:tc>
      </w:tr>
      <w:tr>
        <w:tc>
          <w:tcPr>
            <w:tcW w:type="dxa" w:w="19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总分</w:t>
            </w:r>
          </w:p>
        </w:tc>
        <w:tc>
          <w:tcPr>
            <w:tcW w:type="dxa" w:w="636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仿宋" w:hAnsi="仿宋" w:cs="仿宋" w:eastAsia="仿宋"/>
          <w:sz w:val="24"/>
          <w:b/>
        </w:rPr>
        <w:t>运维考核结果与运维费用结算挂钩</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2088"/>
        <w:gridCol w:w="6218"/>
      </w:tblGrid>
      <w:tr>
        <w:tc>
          <w:tcPr>
            <w:tcW w:type="dxa" w:w="2088"/>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 w:hAnsi="仿宋" w:cs="仿宋" w:eastAsia="仿宋"/>
                <w:sz w:val="24"/>
                <w:b/>
              </w:rPr>
              <w:t>考核得分</w:t>
            </w:r>
          </w:p>
        </w:tc>
        <w:tc>
          <w:tcPr>
            <w:tcW w:type="dxa" w:w="6218"/>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 w:hAnsi="仿宋" w:cs="仿宋" w:eastAsia="仿宋"/>
                <w:sz w:val="24"/>
                <w:b/>
              </w:rPr>
              <w:t>结算标准</w:t>
            </w:r>
          </w:p>
        </w:tc>
      </w:tr>
      <w:tr>
        <w:tc>
          <w:tcPr>
            <w:tcW w:type="dxa" w:w="2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100分</w:t>
            </w:r>
          </w:p>
        </w:tc>
        <w:tc>
          <w:tcPr>
            <w:tcW w:type="dxa" w:w="6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全额结算，给予表扬</w:t>
            </w:r>
          </w:p>
        </w:tc>
      </w:tr>
      <w:tr>
        <w:tc>
          <w:tcPr>
            <w:tcW w:type="dxa" w:w="2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90-99分</w:t>
            </w:r>
          </w:p>
        </w:tc>
        <w:tc>
          <w:tcPr>
            <w:tcW w:type="dxa" w:w="6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全额结算</w:t>
            </w:r>
          </w:p>
        </w:tc>
      </w:tr>
      <w:tr>
        <w:tc>
          <w:tcPr>
            <w:tcW w:type="dxa" w:w="2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89-80分</w:t>
            </w:r>
          </w:p>
        </w:tc>
        <w:tc>
          <w:tcPr>
            <w:tcW w:type="dxa" w:w="6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服务商应支付合同金额</w:t>
            </w:r>
            <w:r>
              <w:rPr>
                <w:rFonts w:ascii="仿宋" w:hAnsi="仿宋" w:cs="仿宋" w:eastAsia="仿宋"/>
                <w:sz w:val="24"/>
              </w:rPr>
              <w:t>5%的违约金，采购人有权从未支付款项中先予扣除</w:t>
            </w:r>
          </w:p>
        </w:tc>
      </w:tr>
      <w:tr>
        <w:tc>
          <w:tcPr>
            <w:tcW w:type="dxa" w:w="2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79-70分</w:t>
            </w:r>
          </w:p>
        </w:tc>
        <w:tc>
          <w:tcPr>
            <w:tcW w:type="dxa" w:w="6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服务商应支付合同金额</w:t>
            </w:r>
            <w:r>
              <w:rPr>
                <w:rFonts w:ascii="仿宋" w:hAnsi="仿宋" w:cs="仿宋" w:eastAsia="仿宋"/>
                <w:sz w:val="24"/>
              </w:rPr>
              <w:t>10%的违约金，采购人有权从未支付款项中先予扣除</w:t>
            </w:r>
          </w:p>
        </w:tc>
      </w:tr>
      <w:tr>
        <w:tc>
          <w:tcPr>
            <w:tcW w:type="dxa" w:w="2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69-60分</w:t>
            </w:r>
          </w:p>
        </w:tc>
        <w:tc>
          <w:tcPr>
            <w:tcW w:type="dxa" w:w="6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服务商应支付合同金额</w:t>
            </w:r>
            <w:r>
              <w:rPr>
                <w:rFonts w:ascii="仿宋" w:hAnsi="仿宋" w:cs="仿宋" w:eastAsia="仿宋"/>
                <w:sz w:val="24"/>
              </w:rPr>
              <w:t>20%的违约金，采购人有权从未支付款项中先予扣除</w:t>
            </w:r>
          </w:p>
        </w:tc>
      </w:tr>
      <w:tr>
        <w:tc>
          <w:tcPr>
            <w:tcW w:type="dxa" w:w="2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59分以下</w:t>
            </w:r>
          </w:p>
        </w:tc>
        <w:tc>
          <w:tcPr>
            <w:tcW w:type="dxa" w:w="6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服务商应支付合同金额</w:t>
            </w:r>
            <w:r>
              <w:rPr>
                <w:rFonts w:ascii="仿宋" w:hAnsi="仿宋" w:cs="仿宋" w:eastAsia="仿宋"/>
                <w:sz w:val="24"/>
              </w:rPr>
              <w:t>50%的违约金，采购人有权从未支付款项中先予扣除</w:t>
            </w:r>
          </w:p>
        </w:tc>
      </w:tr>
    </w:tbl>
    <w:p>
      <w:pPr>
        <w:pStyle w:val="null3"/>
        <w:ind w:firstLine="420"/>
        <w:jc w:val="both"/>
      </w:pPr>
      <w:r>
        <w:rPr>
          <w:rFonts w:ascii="仿宋" w:hAnsi="仿宋" w:cs="仿宋" w:eastAsia="仿宋"/>
          <w:sz w:val="24"/>
        </w:rPr>
        <w:t>项目验收方法：中心执法保障相关业务处室（执法保障一处、执法保障二处、科技教育处）以及地市支队对运维服务评价打分，取平均分为项目考核得分。中心采购领导小组召开验收会，形成会议纪要后，作为项目费用支付的依据。</w:t>
      </w:r>
    </w:p>
    <w:p>
      <w:pPr>
        <w:pStyle w:val="null3"/>
        <w:ind w:firstLine="420"/>
        <w:jc w:val="both"/>
      </w:pPr>
      <w:r>
        <w:rPr/>
        <w:t xml:space="preserve"> </w:t>
      </w:r>
    </w:p>
    <w:p>
      <w:pPr>
        <w:pStyle w:val="null3"/>
        <w:ind w:firstLine="420"/>
        <w:jc w:val="both"/>
      </w:pPr>
      <w:r>
        <w:rPr/>
        <w:t xml:space="preserve"> </w:t>
      </w:r>
    </w:p>
    <w:p>
      <w:pPr>
        <w:pStyle w:val="null3"/>
        <w:ind w:firstLine="422"/>
        <w:jc w:val="both"/>
      </w:pPr>
      <w:r>
        <w:rPr/>
        <w:t xml:space="preserve"> </w:t>
      </w:r>
    </w:p>
    <w:p>
      <w:pPr>
        <w:pStyle w:val="null3"/>
        <w:ind w:firstLine="422"/>
        <w:jc w:val="both"/>
      </w:pPr>
      <w:r>
        <w:rPr/>
        <w:t xml:space="preserve"> </w:t>
      </w:r>
    </w:p>
    <w:p>
      <w:pPr>
        <w:pStyle w:val="null3"/>
        <w:ind w:firstLine="422"/>
        <w:jc w:val="both"/>
      </w:pPr>
      <w:r>
        <w:rPr/>
        <w:t xml:space="preserve"> </w:t>
      </w:r>
    </w:p>
    <w:p>
      <w:pPr>
        <w:pStyle w:val="null3"/>
        <w:ind w:firstLine="422"/>
        <w:jc w:val="both"/>
      </w:pPr>
      <w:r>
        <w:rPr>
          <w:rFonts w:ascii="仿宋" w:hAnsi="仿宋" w:cs="仿宋" w:eastAsia="仿宋"/>
          <w:sz w:val="24"/>
          <w:b/>
          <w:shd w:fill="FFFFFF" w:val="clear"/>
        </w:rPr>
        <w:t>采购包</w:t>
      </w:r>
      <w:r>
        <w:rPr>
          <w:rFonts w:ascii="仿宋" w:hAnsi="仿宋" w:cs="仿宋" w:eastAsia="仿宋"/>
          <w:sz w:val="24"/>
          <w:b/>
          <w:shd w:fill="FFFFFF" w:val="clear"/>
        </w:rPr>
        <w:t>2：2025年办公信息化运维服务</w:t>
      </w:r>
    </w:p>
    <w:p>
      <w:pPr>
        <w:pStyle w:val="null3"/>
        <w:ind w:firstLine="422"/>
        <w:jc w:val="both"/>
      </w:pPr>
      <w:r>
        <w:rPr>
          <w:rFonts w:ascii="仿宋" w:hAnsi="仿宋" w:cs="仿宋" w:eastAsia="仿宋"/>
          <w:sz w:val="24"/>
          <w:b/>
        </w:rPr>
        <w:t>【指标</w:t>
      </w:r>
      <w:r>
        <w:rPr>
          <w:rFonts w:ascii="仿宋" w:hAnsi="仿宋" w:cs="仿宋" w:eastAsia="仿宋"/>
          <w:sz w:val="24"/>
          <w:b/>
        </w:rPr>
        <w:t>1】★1.运维服务范围</w:t>
      </w:r>
    </w:p>
    <w:p>
      <w:pPr>
        <w:pStyle w:val="null3"/>
        <w:ind w:firstLine="420"/>
        <w:jc w:val="both"/>
      </w:pPr>
      <w:r>
        <w:rPr>
          <w:rFonts w:ascii="仿宋" w:hAnsi="仿宋" w:cs="仿宋" w:eastAsia="仿宋"/>
          <w:sz w:val="24"/>
        </w:rPr>
        <w:t>本次运维范围包括中心办公场所内的办公计算机、电话、网络；中心机房、会议室信息化设备运行管理；以及中心日常办公涉及的</w:t>
      </w:r>
      <w:r>
        <w:rPr>
          <w:rFonts w:ascii="仿宋" w:hAnsi="仿宋" w:cs="仿宋" w:eastAsia="仿宋"/>
          <w:sz w:val="24"/>
        </w:rPr>
        <w:t>OA系统、办公软件、中心网站等软件系统。</w:t>
      </w:r>
    </w:p>
    <w:p>
      <w:pPr>
        <w:pStyle w:val="null3"/>
        <w:ind w:firstLine="422"/>
        <w:jc w:val="both"/>
      </w:pPr>
      <w:r>
        <w:rPr>
          <w:rFonts w:ascii="仿宋" w:hAnsi="仿宋" w:cs="仿宋" w:eastAsia="仿宋"/>
          <w:sz w:val="24"/>
          <w:b/>
        </w:rPr>
        <w:t>【指标</w:t>
      </w:r>
      <w:r>
        <w:rPr>
          <w:rFonts w:ascii="仿宋" w:hAnsi="仿宋" w:cs="仿宋" w:eastAsia="仿宋"/>
          <w:sz w:val="24"/>
          <w:b/>
        </w:rPr>
        <w:t>2】★2.服务期限：2024年12月21日至2025年12月20日。</w:t>
      </w:r>
    </w:p>
    <w:p>
      <w:pPr>
        <w:pStyle w:val="null3"/>
        <w:ind w:firstLine="422"/>
        <w:jc w:val="both"/>
      </w:pPr>
      <w:r>
        <w:rPr>
          <w:rFonts w:ascii="仿宋" w:hAnsi="仿宋" w:cs="仿宋" w:eastAsia="仿宋"/>
          <w:sz w:val="24"/>
          <w:b/>
        </w:rPr>
        <w:t>【指标</w:t>
      </w:r>
      <w:r>
        <w:rPr>
          <w:rFonts w:ascii="仿宋" w:hAnsi="仿宋" w:cs="仿宋" w:eastAsia="仿宋"/>
          <w:sz w:val="24"/>
          <w:b/>
        </w:rPr>
        <w:t>3】</w:t>
      </w:r>
      <w:r>
        <w:rPr>
          <w:rFonts w:ascii="仿宋" w:hAnsi="仿宋" w:cs="仿宋" w:eastAsia="仿宋"/>
          <w:sz w:val="24"/>
        </w:rPr>
        <w:t>3.运维服务内容</w:t>
      </w:r>
    </w:p>
    <w:p>
      <w:pPr>
        <w:pStyle w:val="null3"/>
        <w:ind w:firstLine="422"/>
        <w:jc w:val="both"/>
      </w:pPr>
      <w:r>
        <w:rPr>
          <w:rFonts w:ascii="仿宋" w:hAnsi="仿宋" w:cs="仿宋" w:eastAsia="仿宋"/>
          <w:sz w:val="24"/>
        </w:rPr>
        <w:t>对现有的日常办公基础环境及信息系统网络进行维护管理，及时掌握信息系统资源现状和相关的配置信息，改善网络信息系统的基础运行环境，协调各业务应用系统的内部运作，保证用户的日常办公业务及各类业务应用系统的可靠、高效、持续、安全运行，从而有效提升中心办公效率。进行运维服务过程中，做好相关技术资料（配置文件、密码、数据等）的保密工作，不得外泄给第三方。</w:t>
      </w:r>
    </w:p>
    <w:p>
      <w:pPr>
        <w:pStyle w:val="null3"/>
        <w:ind w:firstLine="422"/>
        <w:jc w:val="both"/>
      </w:pPr>
      <w:r>
        <w:rPr>
          <w:rFonts w:ascii="仿宋" w:hAnsi="仿宋" w:cs="仿宋" w:eastAsia="仿宋"/>
          <w:sz w:val="24"/>
          <w:b/>
        </w:rPr>
        <w:t>【指标</w:t>
      </w:r>
      <w:r>
        <w:rPr>
          <w:rFonts w:ascii="仿宋" w:hAnsi="仿宋" w:cs="仿宋" w:eastAsia="仿宋"/>
          <w:sz w:val="24"/>
          <w:b/>
        </w:rPr>
        <w:t>4】</w:t>
      </w:r>
      <w:r>
        <w:rPr>
          <w:rFonts w:ascii="仿宋" w:hAnsi="仿宋" w:cs="仿宋" w:eastAsia="仿宋"/>
          <w:sz w:val="24"/>
        </w:rPr>
        <w:t>3.1中心日常信息化运维</w:t>
      </w:r>
    </w:p>
    <w:p>
      <w:pPr>
        <w:pStyle w:val="null3"/>
        <w:ind w:firstLine="422"/>
        <w:jc w:val="both"/>
      </w:pPr>
      <w:r>
        <w:rPr>
          <w:rFonts w:ascii="仿宋" w:hAnsi="仿宋" w:cs="仿宋" w:eastAsia="仿宋"/>
          <w:sz w:val="24"/>
        </w:rPr>
        <w:t>日常信息化运维含办公网络运维保障、办公设备运维保障、机房、会议室设备运维保障及视频会议系统支撑，协助做好信息安全管理工作、专项活动运维保障：</w:t>
      </w:r>
      <w:r>
        <w:rPr>
          <w:rFonts w:ascii="仿宋" w:hAnsi="仿宋" w:cs="仿宋" w:eastAsia="仿宋"/>
          <w:sz w:val="24"/>
        </w:rPr>
        <w:t>①网络运维保障。②办公设备运维保障。③机房、会议室设备运维保障及视 频会议系统支撑。④对不能修复的设备，应提供备用设备以保障机房、会议室正常运行。⑤协助做好信息安全管理工作。⑥专项活动运维保障。</w:t>
      </w:r>
    </w:p>
    <w:p>
      <w:pPr>
        <w:pStyle w:val="null3"/>
        <w:ind w:firstLine="422"/>
        <w:jc w:val="both"/>
      </w:pPr>
      <w:r>
        <w:rPr>
          <w:rFonts w:ascii="仿宋" w:hAnsi="仿宋" w:cs="仿宋" w:eastAsia="仿宋"/>
          <w:sz w:val="24"/>
          <w:b/>
        </w:rPr>
        <w:t>【指标</w:t>
      </w:r>
      <w:r>
        <w:rPr>
          <w:rFonts w:ascii="仿宋" w:hAnsi="仿宋" w:cs="仿宋" w:eastAsia="仿宋"/>
          <w:sz w:val="24"/>
          <w:b/>
        </w:rPr>
        <w:t>5】</w:t>
      </w:r>
      <w:r>
        <w:rPr>
          <w:rFonts w:ascii="仿宋" w:hAnsi="仿宋" w:cs="仿宋" w:eastAsia="仿宋"/>
          <w:sz w:val="24"/>
        </w:rPr>
        <w:t>3.2系统日常运维</w:t>
      </w:r>
    </w:p>
    <w:p>
      <w:pPr>
        <w:pStyle w:val="null3"/>
        <w:ind w:firstLine="422"/>
        <w:jc w:val="both"/>
      </w:pPr>
      <w:r>
        <w:rPr>
          <w:rFonts w:ascii="仿宋" w:hAnsi="仿宋" w:cs="仿宋" w:eastAsia="仿宋"/>
          <w:sz w:val="24"/>
        </w:rPr>
        <w:t>目前中心的</w:t>
      </w:r>
      <w:r>
        <w:rPr>
          <w:rFonts w:ascii="仿宋" w:hAnsi="仿宋" w:cs="仿宋" w:eastAsia="仿宋"/>
          <w:sz w:val="24"/>
        </w:rPr>
        <w:t>OA系统应用主要依托福建省交通运输厅建设的福建省交通电子公文交换系统，主要实现了与福建省交通运输厅以及行业单位之间电子公文的交换，确保政令的上传下达、高效畅通。系统部署于电子政务信息网，并且 开发开放了公共标准接口，便于各单位内部的办公自动化系统接入，实现自动交换。</w:t>
      </w:r>
    </w:p>
    <w:p>
      <w:pPr>
        <w:pStyle w:val="null3"/>
        <w:ind w:firstLine="422"/>
        <w:jc w:val="both"/>
      </w:pPr>
      <w:r>
        <w:rPr>
          <w:rFonts w:ascii="仿宋" w:hAnsi="仿宋" w:cs="仿宋" w:eastAsia="仿宋"/>
          <w:sz w:val="24"/>
          <w:b/>
        </w:rPr>
        <w:t>【指标</w:t>
      </w:r>
      <w:r>
        <w:rPr>
          <w:rFonts w:ascii="仿宋" w:hAnsi="仿宋" w:cs="仿宋" w:eastAsia="仿宋"/>
          <w:sz w:val="24"/>
          <w:b/>
        </w:rPr>
        <w:t>6】</w:t>
      </w:r>
      <w:r>
        <w:rPr>
          <w:rFonts w:ascii="仿宋" w:hAnsi="仿宋" w:cs="仿宋" w:eastAsia="仿宋"/>
          <w:sz w:val="24"/>
        </w:rPr>
        <w:t>3.2.1对OA服务器、数据库进行维护，按要求做好数据备份恢复工作，及时安装升级相关系统和服务软件，及时升级安全补丁，确保系统运行安全。</w:t>
      </w:r>
    </w:p>
    <w:p>
      <w:pPr>
        <w:pStyle w:val="null3"/>
        <w:ind w:firstLine="422"/>
        <w:jc w:val="both"/>
      </w:pPr>
      <w:r>
        <w:rPr>
          <w:rFonts w:ascii="仿宋" w:hAnsi="仿宋" w:cs="仿宋" w:eastAsia="仿宋"/>
          <w:sz w:val="24"/>
          <w:b/>
        </w:rPr>
        <w:t>【指标</w:t>
      </w:r>
      <w:r>
        <w:rPr>
          <w:rFonts w:ascii="仿宋" w:hAnsi="仿宋" w:cs="仿宋" w:eastAsia="仿宋"/>
          <w:sz w:val="24"/>
          <w:b/>
        </w:rPr>
        <w:t>7】</w:t>
      </w:r>
      <w:r>
        <w:rPr>
          <w:rFonts w:ascii="仿宋" w:hAnsi="仿宋" w:cs="仿宋" w:eastAsia="仿宋"/>
          <w:sz w:val="24"/>
        </w:rPr>
        <w:t>3.2.2及时做好OA办公自动化系统故障排除服务，如果OA系统在运行中出现故障，维护人员需及时查找故障原因，必须在30分钟内锁定原因并及时恢复按需对OA系统升级改造正常，同时，确保OA系统数据的完整性。</w:t>
      </w:r>
    </w:p>
    <w:p>
      <w:pPr>
        <w:pStyle w:val="null3"/>
        <w:ind w:firstLine="422"/>
        <w:jc w:val="both"/>
      </w:pPr>
      <w:r>
        <w:rPr>
          <w:rFonts w:ascii="仿宋" w:hAnsi="仿宋" w:cs="仿宋" w:eastAsia="仿宋"/>
          <w:sz w:val="24"/>
          <w:b/>
        </w:rPr>
        <w:t>【指标</w:t>
      </w:r>
      <w:r>
        <w:rPr>
          <w:rFonts w:ascii="仿宋" w:hAnsi="仿宋" w:cs="仿宋" w:eastAsia="仿宋"/>
          <w:sz w:val="24"/>
          <w:b/>
        </w:rPr>
        <w:t>8】</w:t>
      </w:r>
      <w:r>
        <w:rPr>
          <w:rFonts w:ascii="仿宋" w:hAnsi="仿宋" w:cs="仿宋" w:eastAsia="仿宋"/>
          <w:sz w:val="24"/>
        </w:rPr>
        <w:t>3.2.3做好OA运行管理，正确配置用户帐户，按要求对OA办公自动化系统中业务流转配置的调整，确保业务流程规范合理。</w:t>
      </w:r>
    </w:p>
    <w:p>
      <w:pPr>
        <w:pStyle w:val="null3"/>
        <w:ind w:firstLine="422"/>
        <w:jc w:val="both"/>
      </w:pPr>
      <w:r>
        <w:rPr>
          <w:rFonts w:ascii="仿宋" w:hAnsi="仿宋" w:cs="仿宋" w:eastAsia="仿宋"/>
          <w:sz w:val="24"/>
          <w:b/>
        </w:rPr>
        <w:t>【指标</w:t>
      </w:r>
      <w:r>
        <w:rPr>
          <w:rFonts w:ascii="仿宋" w:hAnsi="仿宋" w:cs="仿宋" w:eastAsia="仿宋"/>
          <w:sz w:val="24"/>
          <w:b/>
        </w:rPr>
        <w:t>9】</w:t>
      </w:r>
      <w:r>
        <w:rPr>
          <w:rFonts w:ascii="仿宋" w:hAnsi="仿宋" w:cs="仿宋" w:eastAsia="仿宋"/>
          <w:sz w:val="24"/>
        </w:rPr>
        <w:t>3.2.4根据上级要求和中心工作安排，做好OA系统安全管理工作。</w:t>
      </w:r>
    </w:p>
    <w:p>
      <w:pPr>
        <w:pStyle w:val="null3"/>
        <w:ind w:firstLine="422"/>
        <w:jc w:val="both"/>
      </w:pPr>
      <w:r>
        <w:rPr>
          <w:rFonts w:ascii="仿宋" w:hAnsi="仿宋" w:cs="仿宋" w:eastAsia="仿宋"/>
          <w:sz w:val="24"/>
          <w:b/>
        </w:rPr>
        <w:t>【指标</w:t>
      </w:r>
      <w:r>
        <w:rPr>
          <w:rFonts w:ascii="仿宋" w:hAnsi="仿宋" w:cs="仿宋" w:eastAsia="仿宋"/>
          <w:sz w:val="24"/>
          <w:b/>
        </w:rPr>
        <w:t>10】</w:t>
      </w:r>
      <w:r>
        <w:rPr>
          <w:rFonts w:ascii="仿宋" w:hAnsi="仿宋" w:cs="仿宋" w:eastAsia="仿宋"/>
          <w:sz w:val="24"/>
        </w:rPr>
        <w:t>3.2.5按需对省一体化协同办公平台升级改造，做好原</w:t>
      </w:r>
      <w:r>
        <w:rPr>
          <w:rFonts w:ascii="仿宋" w:hAnsi="仿宋" w:cs="仿宋" w:eastAsia="仿宋"/>
          <w:sz w:val="24"/>
        </w:rPr>
        <w:t>OA</w:t>
      </w:r>
      <w:r>
        <w:rPr>
          <w:rFonts w:ascii="仿宋" w:hAnsi="仿宋" w:cs="仿宋" w:eastAsia="仿宋"/>
          <w:sz w:val="24"/>
        </w:rPr>
        <w:t>系统数据迁移，满足各类办公设备运行要求，满足全省一体化办公需求。</w:t>
      </w:r>
    </w:p>
    <w:p>
      <w:pPr>
        <w:pStyle w:val="null3"/>
        <w:ind w:firstLine="422"/>
        <w:jc w:val="both"/>
      </w:pPr>
      <w:r>
        <w:rPr>
          <w:rFonts w:ascii="仿宋" w:hAnsi="仿宋" w:cs="仿宋" w:eastAsia="仿宋"/>
          <w:sz w:val="24"/>
          <w:b/>
        </w:rPr>
        <w:t>【指标</w:t>
      </w:r>
      <w:r>
        <w:rPr>
          <w:rFonts w:ascii="仿宋" w:hAnsi="仿宋" w:cs="仿宋" w:eastAsia="仿宋"/>
          <w:sz w:val="24"/>
          <w:b/>
        </w:rPr>
        <w:t>11】</w:t>
      </w:r>
      <w:r>
        <w:rPr>
          <w:rFonts w:ascii="仿宋" w:hAnsi="仿宋" w:cs="仿宋" w:eastAsia="仿宋"/>
          <w:sz w:val="24"/>
        </w:rPr>
        <w:t>3.3门户网站运维</w:t>
      </w:r>
    </w:p>
    <w:p>
      <w:pPr>
        <w:pStyle w:val="null3"/>
        <w:ind w:firstLine="420"/>
        <w:jc w:val="both"/>
      </w:pPr>
      <w:r>
        <w:rPr>
          <w:rFonts w:ascii="仿宋" w:hAnsi="仿宋" w:cs="仿宋" w:eastAsia="仿宋"/>
          <w:sz w:val="24"/>
        </w:rPr>
        <w:t>按照统一平台管理要求和中心需求，运维单位需负责网站的开设、版面修改和维护等工作</w:t>
      </w:r>
      <w:r>
        <w:rPr>
          <w:rFonts w:ascii="仿宋" w:hAnsi="仿宋" w:cs="仿宋" w:eastAsia="仿宋"/>
          <w:sz w:val="24"/>
        </w:rPr>
        <w:t>，</w:t>
      </w:r>
      <w:r>
        <w:rPr>
          <w:rFonts w:ascii="仿宋" w:hAnsi="仿宋" w:cs="仿宋" w:eastAsia="仿宋"/>
          <w:sz w:val="24"/>
        </w:rPr>
        <w:t>做好网络域名维护，如涉及网络域名（中文、英文）缴费，由运维单位承担。</w:t>
      </w:r>
    </w:p>
    <w:p>
      <w:pPr>
        <w:pStyle w:val="null3"/>
        <w:ind w:firstLine="422"/>
        <w:jc w:val="both"/>
      </w:pPr>
      <w:r>
        <w:rPr>
          <w:rFonts w:ascii="仿宋" w:hAnsi="仿宋" w:cs="仿宋" w:eastAsia="仿宋"/>
          <w:sz w:val="24"/>
          <w:b/>
        </w:rPr>
        <w:t>【指标</w:t>
      </w:r>
      <w:r>
        <w:rPr>
          <w:rFonts w:ascii="仿宋" w:hAnsi="仿宋" w:cs="仿宋" w:eastAsia="仿宋"/>
          <w:sz w:val="24"/>
          <w:b/>
        </w:rPr>
        <w:t>12】</w:t>
      </w:r>
      <w:r>
        <w:rPr>
          <w:rFonts w:ascii="仿宋" w:hAnsi="仿宋" w:cs="仿宋" w:eastAsia="仿宋"/>
          <w:sz w:val="24"/>
        </w:rPr>
        <w:t>3.3.1日常巡检。运维单位需通过技术和人工手段，对网站页面内容和功能进行日常巡检，确保采购人网站正常运行。</w:t>
      </w:r>
    </w:p>
    <w:p>
      <w:pPr>
        <w:pStyle w:val="null3"/>
        <w:ind w:firstLine="422"/>
        <w:jc w:val="both"/>
      </w:pPr>
      <w:r>
        <w:rPr>
          <w:rFonts w:ascii="仿宋" w:hAnsi="仿宋" w:cs="仿宋" w:eastAsia="仿宋"/>
          <w:sz w:val="24"/>
          <w:b/>
        </w:rPr>
        <w:t>【指标</w:t>
      </w:r>
      <w:r>
        <w:rPr>
          <w:rFonts w:ascii="仿宋" w:hAnsi="仿宋" w:cs="仿宋" w:eastAsia="仿宋"/>
          <w:sz w:val="24"/>
          <w:b/>
        </w:rPr>
        <w:t>13】</w:t>
      </w:r>
      <w:r>
        <w:rPr>
          <w:rFonts w:ascii="仿宋" w:hAnsi="仿宋" w:cs="仿宋" w:eastAsia="仿宋"/>
          <w:sz w:val="24"/>
        </w:rPr>
        <w:t>3.3.2版面修改。根据采购人要求，重新设计调整</w:t>
      </w:r>
      <w:r>
        <w:rPr>
          <w:rFonts w:ascii="仿宋" w:hAnsi="仿宋" w:cs="仿宋" w:eastAsia="仿宋"/>
          <w:sz w:val="24"/>
        </w:rPr>
        <w:t>或增加</w:t>
      </w:r>
      <w:r>
        <w:rPr>
          <w:rFonts w:ascii="仿宋" w:hAnsi="仿宋" w:cs="仿宋" w:eastAsia="仿宋"/>
          <w:sz w:val="24"/>
        </w:rPr>
        <w:t>网站的局部模块，新增修改删除网站页面内容，包括网站横幅、背景图、飘窗、对联效果、头部</w:t>
      </w:r>
      <w:r>
        <w:rPr>
          <w:rFonts w:ascii="仿宋" w:hAnsi="仿宋" w:cs="仿宋" w:eastAsia="仿宋"/>
          <w:sz w:val="24"/>
        </w:rPr>
        <w:t>flash 、按钮、图标等，提供专题制作等个性化定制开发服务。</w:t>
      </w:r>
    </w:p>
    <w:p>
      <w:pPr>
        <w:pStyle w:val="null3"/>
        <w:ind w:firstLine="422"/>
        <w:jc w:val="both"/>
      </w:pPr>
      <w:r>
        <w:rPr>
          <w:rFonts w:ascii="仿宋" w:hAnsi="仿宋" w:cs="仿宋" w:eastAsia="仿宋"/>
          <w:sz w:val="24"/>
          <w:b/>
        </w:rPr>
        <w:t>【指标</w:t>
      </w:r>
      <w:r>
        <w:rPr>
          <w:rFonts w:ascii="仿宋" w:hAnsi="仿宋" w:cs="仿宋" w:eastAsia="仿宋"/>
          <w:sz w:val="24"/>
          <w:b/>
        </w:rPr>
        <w:t>14】</w:t>
      </w:r>
      <w:r>
        <w:rPr>
          <w:rFonts w:ascii="仿宋" w:hAnsi="仿宋" w:cs="仿宋" w:eastAsia="仿宋"/>
          <w:sz w:val="24"/>
        </w:rPr>
        <w:t>3.3.3网站数据维护。按规定做好网站数据备份工作，提供文档的批量调整、处理服务，协助进行特殊文档的录入和发布，图片音视频处理等。</w:t>
      </w:r>
    </w:p>
    <w:p>
      <w:pPr>
        <w:pStyle w:val="null3"/>
        <w:ind w:firstLine="422"/>
        <w:jc w:val="both"/>
      </w:pPr>
      <w:r>
        <w:rPr>
          <w:rFonts w:ascii="仿宋" w:hAnsi="仿宋" w:cs="仿宋" w:eastAsia="仿宋"/>
          <w:sz w:val="24"/>
          <w:b/>
        </w:rPr>
        <w:t>【指标</w:t>
      </w:r>
      <w:r>
        <w:rPr>
          <w:rFonts w:ascii="仿宋" w:hAnsi="仿宋" w:cs="仿宋" w:eastAsia="仿宋"/>
          <w:sz w:val="24"/>
          <w:b/>
        </w:rPr>
        <w:t>15】</w:t>
      </w:r>
      <w:r>
        <w:rPr>
          <w:rFonts w:ascii="仿宋" w:hAnsi="仿宋" w:cs="仿宋" w:eastAsia="仿宋"/>
          <w:sz w:val="24"/>
        </w:rPr>
        <w:t>3.3.4网站故障处理服务。及时处理网站故障，确保网站正常运行。</w:t>
      </w:r>
    </w:p>
    <w:p>
      <w:pPr>
        <w:pStyle w:val="null3"/>
        <w:ind w:firstLine="422"/>
        <w:jc w:val="both"/>
      </w:pPr>
      <w:r>
        <w:rPr>
          <w:rFonts w:ascii="仿宋" w:hAnsi="仿宋" w:cs="仿宋" w:eastAsia="仿宋"/>
          <w:sz w:val="24"/>
          <w:b/>
        </w:rPr>
        <w:t>【指标</w:t>
      </w:r>
      <w:r>
        <w:rPr>
          <w:rFonts w:ascii="仿宋" w:hAnsi="仿宋" w:cs="仿宋" w:eastAsia="仿宋"/>
          <w:sz w:val="24"/>
          <w:b/>
        </w:rPr>
        <w:t>16】</w:t>
      </w:r>
      <w:r>
        <w:rPr>
          <w:rFonts w:ascii="仿宋" w:hAnsi="仿宋" w:cs="仿宋" w:eastAsia="仿宋"/>
          <w:sz w:val="24"/>
        </w:rPr>
        <w:t>3.3.5培训服务。根据采购人要求，为干部职工提供网站操作培训。</w:t>
      </w:r>
    </w:p>
    <w:p>
      <w:pPr>
        <w:pStyle w:val="null3"/>
        <w:ind w:firstLine="422"/>
        <w:jc w:val="both"/>
      </w:pPr>
      <w:r>
        <w:rPr>
          <w:rFonts w:ascii="仿宋" w:hAnsi="仿宋" w:cs="仿宋" w:eastAsia="仿宋"/>
          <w:sz w:val="24"/>
          <w:b/>
        </w:rPr>
        <w:t>【指标</w:t>
      </w:r>
      <w:r>
        <w:rPr>
          <w:rFonts w:ascii="仿宋" w:hAnsi="仿宋" w:cs="仿宋" w:eastAsia="仿宋"/>
          <w:sz w:val="24"/>
          <w:b/>
        </w:rPr>
        <w:t>17】</w:t>
      </w:r>
      <w:r>
        <w:rPr>
          <w:rFonts w:ascii="仿宋" w:hAnsi="仿宋" w:cs="仿宋" w:eastAsia="仿宋"/>
          <w:sz w:val="24"/>
        </w:rPr>
        <w:t>3.3.6网站安全运维。采用相关安全技术防范手段有效处理网站出现的安全漏洞、非法入侵、非法篡改、木马病毒感染和网络攻击等问题。积极配合计算机网络安全管理部门和机构做好网站的安全检测、评估、修复和提供补丁等工作，保障网站运行过程的安全和数据安全，确保采购人网站满足信息系统安全等级保护的相关要求</w:t>
      </w:r>
      <w:r>
        <w:rPr>
          <w:rFonts w:ascii="仿宋" w:hAnsi="仿宋" w:cs="仿宋" w:eastAsia="仿宋"/>
          <w:sz w:val="24"/>
        </w:rPr>
        <w:t>，</w:t>
      </w:r>
      <w:r>
        <w:rPr>
          <w:rFonts w:ascii="仿宋" w:hAnsi="仿宋" w:cs="仿宋" w:eastAsia="仿宋"/>
          <w:sz w:val="24"/>
        </w:rPr>
        <w:t>若在运维服务中，因</w:t>
      </w:r>
      <w:r>
        <w:rPr>
          <w:rFonts w:ascii="仿宋" w:hAnsi="仿宋" w:cs="仿宋" w:eastAsia="仿宋"/>
          <w:sz w:val="24"/>
        </w:rPr>
        <w:t>非法入侵、非法篡改、木马病毒感染和网络攻击等</w:t>
      </w:r>
      <w:r>
        <w:rPr>
          <w:rFonts w:ascii="仿宋" w:hAnsi="仿宋" w:cs="仿宋" w:eastAsia="仿宋"/>
          <w:sz w:val="24"/>
        </w:rPr>
        <w:t>造成不良影响</w:t>
      </w:r>
      <w:r>
        <w:rPr>
          <w:rFonts w:ascii="仿宋" w:hAnsi="仿宋" w:cs="仿宋" w:eastAsia="仿宋"/>
          <w:sz w:val="24"/>
        </w:rPr>
        <w:t>问题</w:t>
      </w:r>
      <w:r>
        <w:rPr>
          <w:rFonts w:ascii="仿宋" w:hAnsi="仿宋" w:cs="仿宋" w:eastAsia="仿宋"/>
          <w:sz w:val="24"/>
        </w:rPr>
        <w:t>，</w:t>
      </w:r>
      <w:r>
        <w:rPr>
          <w:rFonts w:ascii="仿宋" w:hAnsi="仿宋" w:cs="仿宋" w:eastAsia="仿宋"/>
          <w:sz w:val="24"/>
        </w:rPr>
        <w:t>采购人将扣除投标人</w:t>
      </w:r>
      <w:r>
        <w:rPr>
          <w:rFonts w:ascii="仿宋" w:hAnsi="仿宋" w:cs="仿宋" w:eastAsia="仿宋"/>
          <w:sz w:val="24"/>
        </w:rPr>
        <w:t>“</w:t>
      </w:r>
      <w:r>
        <w:rPr>
          <w:rFonts w:ascii="仿宋" w:hAnsi="仿宋" w:cs="仿宋" w:eastAsia="仿宋"/>
          <w:sz w:val="24"/>
        </w:rPr>
        <w:t>网站</w:t>
      </w:r>
      <w:r>
        <w:rPr>
          <w:rFonts w:ascii="仿宋" w:hAnsi="仿宋" w:cs="仿宋" w:eastAsia="仿宋"/>
          <w:sz w:val="24"/>
        </w:rPr>
        <w:t>安全运维</w:t>
      </w:r>
      <w:r>
        <w:rPr>
          <w:rFonts w:ascii="仿宋" w:hAnsi="仿宋" w:cs="仿宋" w:eastAsia="仿宋"/>
          <w:sz w:val="24"/>
        </w:rPr>
        <w:t>”的费用。</w:t>
      </w:r>
    </w:p>
    <w:p>
      <w:pPr>
        <w:pStyle w:val="null3"/>
        <w:ind w:firstLine="422"/>
        <w:jc w:val="both"/>
      </w:pPr>
      <w:r>
        <w:rPr>
          <w:rFonts w:ascii="仿宋" w:hAnsi="仿宋" w:cs="仿宋" w:eastAsia="仿宋"/>
          <w:sz w:val="24"/>
          <w:b/>
        </w:rPr>
        <w:t>【指标</w:t>
      </w:r>
      <w:r>
        <w:rPr>
          <w:rFonts w:ascii="仿宋" w:hAnsi="仿宋" w:cs="仿宋" w:eastAsia="仿宋"/>
          <w:sz w:val="24"/>
          <w:b/>
        </w:rPr>
        <w:t>18】</w:t>
      </w:r>
      <w:r>
        <w:rPr>
          <w:rFonts w:ascii="仿宋" w:hAnsi="仿宋" w:cs="仿宋" w:eastAsia="仿宋"/>
          <w:sz w:val="24"/>
        </w:rPr>
        <w:t>4.运维服务方式</w:t>
      </w:r>
    </w:p>
    <w:p>
      <w:pPr>
        <w:pStyle w:val="null3"/>
        <w:ind w:firstLine="420"/>
        <w:jc w:val="both"/>
      </w:pPr>
      <w:r>
        <w:rPr>
          <w:rFonts w:ascii="仿宋" w:hAnsi="仿宋" w:cs="仿宋" w:eastAsia="仿宋"/>
          <w:sz w:val="24"/>
        </w:rPr>
        <w:t>本次项目需提供多样化运维服务方式，包括电话咨询、远程服务、现场服务等。设立驻点运维人员，提供</w:t>
      </w:r>
      <w:r>
        <w:rPr>
          <w:rFonts w:ascii="仿宋" w:hAnsi="仿宋" w:cs="仿宋" w:eastAsia="仿宋"/>
          <w:sz w:val="24"/>
        </w:rPr>
        <w:t>5×8小时现场服务，形成驻点人员与中心无缝对接，在工作时间内须坚守岗位，不得从事与本项目维护无关的工作。在工作时间内，运维人员提供现场服务为主。在非工作时间内，须提供电话咨询服务。根据运维内容需要，必要时运维人员需提供远程协助服务。在出现紧急情况无法进行业务办理，及时指派现场实施工程师在指定时间内到现场进行维护解决。</w:t>
      </w:r>
    </w:p>
    <w:p>
      <w:pPr>
        <w:pStyle w:val="null3"/>
        <w:ind w:firstLine="422"/>
        <w:jc w:val="both"/>
      </w:pPr>
      <w:r>
        <w:rPr>
          <w:rFonts w:ascii="仿宋" w:hAnsi="仿宋" w:cs="仿宋" w:eastAsia="仿宋"/>
          <w:sz w:val="24"/>
          <w:b/>
        </w:rPr>
        <w:t>【指标</w:t>
      </w:r>
      <w:r>
        <w:rPr>
          <w:rFonts w:ascii="仿宋" w:hAnsi="仿宋" w:cs="仿宋" w:eastAsia="仿宋"/>
          <w:sz w:val="24"/>
          <w:b/>
        </w:rPr>
        <w:t>19】</w:t>
      </w:r>
      <w:r>
        <w:rPr>
          <w:rFonts w:ascii="仿宋" w:hAnsi="仿宋" w:cs="仿宋" w:eastAsia="仿宋"/>
          <w:sz w:val="24"/>
        </w:rPr>
        <w:t>5.运维服务团队</w:t>
      </w:r>
    </w:p>
    <w:p>
      <w:pPr>
        <w:pStyle w:val="null3"/>
        <w:ind w:firstLine="420"/>
        <w:jc w:val="both"/>
      </w:pPr>
      <w:r>
        <w:rPr>
          <w:rFonts w:ascii="仿宋" w:hAnsi="仿宋" w:cs="仿宋" w:eastAsia="仿宋"/>
          <w:sz w:val="24"/>
        </w:rPr>
        <w:t>项目运维团队主要由运维项目经理、软件工程师、运维人员组成。运维团队在运维期间，派</w:t>
      </w:r>
      <w:r>
        <w:rPr>
          <w:rFonts w:ascii="仿宋" w:hAnsi="仿宋" w:cs="仿宋" w:eastAsia="仿宋"/>
          <w:sz w:val="24"/>
        </w:rPr>
        <w:t>1名运维人员在中心驻点服务，无特殊情况，成员不得更换。</w:t>
      </w:r>
    </w:p>
    <w:p>
      <w:pPr>
        <w:pStyle w:val="null3"/>
        <w:ind w:firstLine="420"/>
        <w:jc w:val="both"/>
      </w:pPr>
      <w:r>
        <w:rPr>
          <w:rFonts w:ascii="仿宋" w:hAnsi="仿宋" w:cs="仿宋" w:eastAsia="仿宋"/>
          <w:sz w:val="24"/>
        </w:rPr>
        <w:t>团队骨干成员具体如下表所示：</w:t>
      </w:r>
    </w:p>
    <w:tbl>
      <w:tblPr>
        <w:tblW w:w="0" w:type="auto"/>
        <w:tblInd w:type="dxa" w:w="405"/>
        <w:tblBorders>
          <w:top w:val="none" w:color="000000" w:sz="4"/>
          <w:left w:val="none" w:color="000000" w:sz="4"/>
          <w:bottom w:val="none" w:color="000000" w:sz="4"/>
          <w:right w:val="none" w:color="000000" w:sz="4"/>
          <w:insideH w:val="none"/>
          <w:insideV w:val="none"/>
        </w:tblBorders>
      </w:tblPr>
      <w:tblGrid>
        <w:gridCol w:w="813"/>
        <w:gridCol w:w="1309"/>
        <w:gridCol w:w="737"/>
        <w:gridCol w:w="2573"/>
        <w:gridCol w:w="2874"/>
      </w:tblGrid>
      <w:tr>
        <w:tc>
          <w:tcPr>
            <w:tcW w:type="dxa" w:w="81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rPr>
              <w:t>序号</w:t>
            </w:r>
          </w:p>
        </w:tc>
        <w:tc>
          <w:tcPr>
            <w:tcW w:type="dxa" w:w="130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rPr>
              <w:t>岗位名称</w:t>
            </w:r>
          </w:p>
        </w:tc>
        <w:tc>
          <w:tcPr>
            <w:tcW w:type="dxa" w:w="73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rPr>
              <w:t>人数</w:t>
            </w:r>
          </w:p>
        </w:tc>
        <w:tc>
          <w:tcPr>
            <w:tcW w:type="dxa" w:w="257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rPr>
              <w:t>岗位职责</w:t>
            </w:r>
          </w:p>
        </w:tc>
        <w:tc>
          <w:tcPr>
            <w:tcW w:type="dxa" w:w="287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rPr>
              <w:t>岗位要求</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1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rPr>
              <w:t>运维项目经理</w:t>
            </w:r>
            <w:r>
              <w:rPr>
                <w:rFonts w:ascii="仿宋" w:hAnsi="仿宋" w:cs="仿宋" w:eastAsia="仿宋"/>
                <w:sz w:val="24"/>
                <w:b/>
              </w:rPr>
              <w:t>【指标</w:t>
            </w:r>
            <w:r>
              <w:rPr>
                <w:rFonts w:ascii="仿宋" w:hAnsi="仿宋" w:cs="仿宋" w:eastAsia="仿宋"/>
                <w:sz w:val="24"/>
                <w:b/>
              </w:rPr>
              <w:t>20</w:t>
            </w:r>
            <w:r>
              <w:rPr>
                <w:rFonts w:ascii="仿宋" w:hAnsi="仿宋" w:cs="仿宋" w:eastAsia="仿宋"/>
                <w:sz w:val="24"/>
                <w:b/>
              </w:rPr>
              <w:t>】</w:t>
            </w:r>
          </w:p>
        </w:tc>
        <w:tc>
          <w:tcPr>
            <w:tcW w:type="dxa" w:w="7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rPr>
              <w:t>1人</w:t>
            </w:r>
          </w:p>
        </w:tc>
        <w:tc>
          <w:tcPr>
            <w:tcW w:type="dxa" w:w="2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全面负责该项目运维的协调沟通，团队管理及工作安排</w:t>
            </w:r>
          </w:p>
        </w:tc>
        <w:tc>
          <w:tcPr>
            <w:tcW w:type="dxa" w:w="28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熟悉</w:t>
            </w:r>
            <w:r>
              <w:rPr>
                <w:rFonts w:ascii="仿宋" w:hAnsi="仿宋" w:cs="仿宋" w:eastAsia="仿宋"/>
                <w:sz w:val="24"/>
              </w:rPr>
              <w:t>OA系统、门户网站等信息系统，并具有良好沟通能力、管理能力、统筹安排能力。</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1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rPr>
              <w:t>软件工程师</w:t>
            </w:r>
            <w:r>
              <w:rPr>
                <w:rFonts w:ascii="仿宋" w:hAnsi="仿宋" w:cs="仿宋" w:eastAsia="仿宋"/>
                <w:sz w:val="24"/>
                <w:b/>
              </w:rPr>
              <w:t>【指标</w:t>
            </w:r>
            <w:r>
              <w:rPr>
                <w:rFonts w:ascii="仿宋" w:hAnsi="仿宋" w:cs="仿宋" w:eastAsia="仿宋"/>
                <w:sz w:val="24"/>
                <w:b/>
              </w:rPr>
              <w:t>21</w:t>
            </w:r>
            <w:r>
              <w:rPr>
                <w:rFonts w:ascii="仿宋" w:hAnsi="仿宋" w:cs="仿宋" w:eastAsia="仿宋"/>
                <w:sz w:val="24"/>
                <w:b/>
              </w:rPr>
              <w:t>】</w:t>
            </w:r>
          </w:p>
        </w:tc>
        <w:tc>
          <w:tcPr>
            <w:tcW w:type="dxa" w:w="7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rPr>
              <w:t>2人</w:t>
            </w:r>
          </w:p>
        </w:tc>
        <w:tc>
          <w:tcPr>
            <w:tcW w:type="dxa" w:w="2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负责系统故障修复、性能优化、安全补丁、功能提升</w:t>
            </w:r>
          </w:p>
        </w:tc>
        <w:tc>
          <w:tcPr>
            <w:tcW w:type="dxa" w:w="28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具有两年以上开发经验的运维人员，熟悉交通行业软件开发，计算机专科（含专科）以上学历。</w:t>
            </w:r>
          </w:p>
        </w:tc>
      </w:tr>
      <w:tr>
        <w:tc>
          <w:tcPr>
            <w:tcW w:type="dxa" w:w="8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1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rPr>
              <w:t>运维人员</w:t>
            </w:r>
            <w:r>
              <w:rPr>
                <w:rFonts w:ascii="仿宋" w:hAnsi="仿宋" w:cs="仿宋" w:eastAsia="仿宋"/>
                <w:sz w:val="24"/>
                <w:b/>
              </w:rPr>
              <w:t>【指标</w:t>
            </w:r>
            <w:r>
              <w:rPr>
                <w:rFonts w:ascii="仿宋" w:hAnsi="仿宋" w:cs="仿宋" w:eastAsia="仿宋"/>
                <w:sz w:val="24"/>
                <w:b/>
              </w:rPr>
              <w:t>22</w:t>
            </w:r>
            <w:r>
              <w:rPr>
                <w:rFonts w:ascii="仿宋" w:hAnsi="仿宋" w:cs="仿宋" w:eastAsia="仿宋"/>
                <w:sz w:val="24"/>
                <w:b/>
              </w:rPr>
              <w:t>】</w:t>
            </w:r>
          </w:p>
        </w:tc>
        <w:tc>
          <w:tcPr>
            <w:tcW w:type="dxa" w:w="7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rPr>
              <w:t>1人</w:t>
            </w:r>
          </w:p>
        </w:tc>
        <w:tc>
          <w:tcPr>
            <w:tcW w:type="dxa" w:w="2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驻点为中心提供信息化保障服务</w:t>
            </w:r>
          </w:p>
        </w:tc>
        <w:tc>
          <w:tcPr>
            <w:tcW w:type="dxa" w:w="28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熟悉</w:t>
            </w:r>
            <w:r>
              <w:rPr>
                <w:rFonts w:ascii="仿宋" w:hAnsi="仿宋" w:cs="仿宋" w:eastAsia="仿宋"/>
                <w:sz w:val="24"/>
              </w:rPr>
              <w:t>OA系统、门户网站等信息系统，具备两年以上运维工作经验，计算机专科（含专科）以上学历。</w:t>
            </w:r>
          </w:p>
        </w:tc>
      </w:tr>
    </w:tbl>
    <w:p>
      <w:pPr>
        <w:pStyle w:val="null3"/>
      </w:pPr>
      <w:r>
        <w:rPr>
          <w:rFonts w:ascii="仿宋" w:hAnsi="仿宋" w:cs="仿宋" w:eastAsia="仿宋"/>
          <w:sz w:val="24"/>
          <w:b/>
        </w:rPr>
        <w:t>【指标</w:t>
      </w:r>
      <w:r>
        <w:rPr>
          <w:rFonts w:ascii="仿宋" w:hAnsi="仿宋" w:cs="仿宋" w:eastAsia="仿宋"/>
          <w:sz w:val="24"/>
          <w:b/>
        </w:rPr>
        <w:t>2</w:t>
      </w:r>
      <w:r>
        <w:rPr>
          <w:rFonts w:ascii="仿宋" w:hAnsi="仿宋" w:cs="仿宋" w:eastAsia="仿宋"/>
          <w:sz w:val="24"/>
          <w:b/>
        </w:rPr>
        <w:t>3</w:t>
      </w:r>
      <w:r>
        <w:rPr>
          <w:rFonts w:ascii="仿宋" w:hAnsi="仿宋" w:cs="仿宋" w:eastAsia="仿宋"/>
          <w:sz w:val="24"/>
          <w:b/>
        </w:rPr>
        <w:t>】</w:t>
      </w:r>
      <w:r>
        <w:rPr>
          <w:rFonts w:ascii="仿宋" w:hAnsi="仿宋" w:cs="仿宋" w:eastAsia="仿宋"/>
          <w:sz w:val="24"/>
          <w:b/>
        </w:rPr>
        <w:t>★6.交付成果</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513"/>
        <w:gridCol w:w="2769"/>
        <w:gridCol w:w="29"/>
        <w:gridCol w:w="879"/>
        <w:gridCol w:w="4116"/>
      </w:tblGrid>
      <w:tr>
        <w:tc>
          <w:tcPr>
            <w:tcW w:type="dxa" w:w="5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jc w:val="center"/>
            </w:pPr>
            <w:r>
              <w:rPr>
                <w:rFonts w:ascii="仿宋" w:hAnsi="仿宋" w:cs="仿宋" w:eastAsia="仿宋"/>
                <w:sz w:val="24"/>
                <w:b/>
              </w:rPr>
              <w:t>序号</w:t>
            </w:r>
          </w:p>
        </w:tc>
        <w:tc>
          <w:tcPr>
            <w:tcW w:type="dxa" w:w="279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jc w:val="center"/>
            </w:pPr>
            <w:r>
              <w:rPr>
                <w:rFonts w:ascii="仿宋" w:hAnsi="仿宋" w:cs="仿宋" w:eastAsia="仿宋"/>
                <w:sz w:val="24"/>
                <w:b/>
              </w:rPr>
              <w:t>运维服务项</w:t>
            </w:r>
          </w:p>
        </w:tc>
        <w:tc>
          <w:tcPr>
            <w:tcW w:type="dxa" w:w="8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jc w:val="center"/>
            </w:pPr>
            <w:r>
              <w:rPr>
                <w:rFonts w:ascii="仿宋" w:hAnsi="仿宋" w:cs="仿宋" w:eastAsia="仿宋"/>
                <w:sz w:val="24"/>
                <w:b/>
              </w:rPr>
              <w:t>服务频度</w:t>
            </w:r>
          </w:p>
        </w:tc>
        <w:tc>
          <w:tcPr>
            <w:tcW w:type="dxa" w:w="41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jc w:val="center"/>
            </w:pPr>
            <w:r>
              <w:rPr>
                <w:rFonts w:ascii="仿宋" w:hAnsi="仿宋" w:cs="仿宋" w:eastAsia="仿宋"/>
                <w:sz w:val="24"/>
                <w:b/>
              </w:rPr>
              <w:t>交付内容</w:t>
            </w:r>
          </w:p>
        </w:tc>
      </w:tr>
      <w:tr>
        <w:tc>
          <w:tcPr>
            <w:tcW w:type="dxa" w:w="830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jc w:val="both"/>
            </w:pPr>
            <w:r>
              <w:rPr>
                <w:rFonts w:ascii="仿宋" w:hAnsi="仿宋" w:cs="仿宋" w:eastAsia="仿宋"/>
                <w:sz w:val="24"/>
              </w:rPr>
              <w:t>一、中心日常信息化运维</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jc w:val="both"/>
            </w:pPr>
            <w:r>
              <w:rPr>
                <w:rFonts w:ascii="仿宋" w:hAnsi="仿宋" w:cs="仿宋" w:eastAsia="仿宋"/>
                <w:sz w:val="24"/>
              </w:rPr>
              <w:t>1</w:t>
            </w:r>
          </w:p>
        </w:tc>
        <w:tc>
          <w:tcPr>
            <w:tcW w:type="dxa" w:w="279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jc w:val="both"/>
            </w:pPr>
            <w:r>
              <w:rPr>
                <w:rFonts w:ascii="仿宋" w:hAnsi="仿宋" w:cs="仿宋" w:eastAsia="仿宋"/>
                <w:sz w:val="24"/>
              </w:rPr>
              <w:t>网络运维保障</w:t>
            </w:r>
          </w:p>
        </w:tc>
        <w:tc>
          <w:tcPr>
            <w:tcW w:type="dxa" w:w="8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jc w:val="both"/>
            </w:pPr>
            <w:r>
              <w:rPr>
                <w:rFonts w:ascii="仿宋" w:hAnsi="仿宋" w:cs="仿宋" w:eastAsia="仿宋"/>
                <w:sz w:val="24"/>
              </w:rPr>
              <w:t>每天</w:t>
            </w:r>
          </w:p>
        </w:tc>
        <w:tc>
          <w:tcPr>
            <w:tcW w:type="dxa" w:w="411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jc w:val="both"/>
            </w:pPr>
            <w:r>
              <w:rPr>
                <w:rFonts w:ascii="仿宋" w:hAnsi="仿宋" w:cs="仿宋" w:eastAsia="仿宋"/>
                <w:sz w:val="24"/>
              </w:rPr>
              <w:t>1．每月1份《运维工作内容清单》</w:t>
            </w:r>
          </w:p>
          <w:p>
            <w:pPr>
              <w:pStyle w:val="null3"/>
              <w:spacing w:before="15"/>
              <w:jc w:val="both"/>
            </w:pPr>
            <w:r>
              <w:rPr>
                <w:rFonts w:ascii="仿宋" w:hAnsi="仿宋" w:cs="仿宋" w:eastAsia="仿宋"/>
                <w:sz w:val="24"/>
              </w:rPr>
              <w:t>2．每月1份《设备巡查表》6份</w:t>
            </w:r>
          </w:p>
          <w:p>
            <w:pPr>
              <w:pStyle w:val="null3"/>
              <w:spacing w:before="15"/>
              <w:jc w:val="both"/>
            </w:pPr>
            <w:r>
              <w:rPr>
                <w:rFonts w:ascii="仿宋" w:hAnsi="仿宋" w:cs="仿宋" w:eastAsia="仿宋"/>
                <w:sz w:val="24"/>
              </w:rPr>
              <w:t>3．每年度1份《中心日常信息化运维工作情况总结》</w:t>
            </w:r>
          </w:p>
          <w:p>
            <w:pPr>
              <w:pStyle w:val="null3"/>
              <w:spacing w:before="15"/>
              <w:jc w:val="both"/>
            </w:pPr>
            <w:r>
              <w:rPr>
                <w:rFonts w:ascii="仿宋" w:hAnsi="仿宋" w:cs="仿宋" w:eastAsia="仿宋"/>
                <w:sz w:val="24"/>
              </w:rPr>
              <w:t>4．发现安全风险问题，立即记录并撰写安全处置报告</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jc w:val="both"/>
            </w:pPr>
            <w:r>
              <w:rPr>
                <w:rFonts w:ascii="仿宋" w:hAnsi="仿宋" w:cs="仿宋" w:eastAsia="仿宋"/>
                <w:sz w:val="24"/>
              </w:rPr>
              <w:t>2</w:t>
            </w:r>
          </w:p>
        </w:tc>
        <w:tc>
          <w:tcPr>
            <w:tcW w:type="dxa" w:w="279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jc w:val="both"/>
            </w:pPr>
            <w:r>
              <w:rPr>
                <w:rFonts w:ascii="仿宋" w:hAnsi="仿宋" w:cs="仿宋" w:eastAsia="仿宋"/>
                <w:sz w:val="24"/>
              </w:rPr>
              <w:t>办公设备运维保障</w:t>
            </w:r>
          </w:p>
        </w:tc>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jc w:val="both"/>
            </w:pPr>
            <w:r>
              <w:rPr>
                <w:rFonts w:ascii="仿宋" w:hAnsi="仿宋" w:cs="仿宋" w:eastAsia="仿宋"/>
                <w:sz w:val="24"/>
              </w:rPr>
              <w:t>按需</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jc w:val="both"/>
            </w:pPr>
            <w:r>
              <w:rPr>
                <w:rFonts w:ascii="仿宋" w:hAnsi="仿宋" w:cs="仿宋" w:eastAsia="仿宋"/>
                <w:sz w:val="24"/>
              </w:rPr>
              <w:t>3</w:t>
            </w:r>
          </w:p>
        </w:tc>
        <w:tc>
          <w:tcPr>
            <w:tcW w:type="dxa" w:w="279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jc w:val="both"/>
            </w:pPr>
            <w:r>
              <w:rPr>
                <w:rFonts w:ascii="仿宋" w:hAnsi="仿宋" w:cs="仿宋" w:eastAsia="仿宋"/>
                <w:sz w:val="24"/>
              </w:rPr>
              <w:t>机房、会议室设备运维保障及视频会议系统支撑</w:t>
            </w:r>
          </w:p>
        </w:tc>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jc w:val="both"/>
            </w:pPr>
            <w:r>
              <w:rPr>
                <w:rFonts w:ascii="仿宋" w:hAnsi="仿宋" w:cs="仿宋" w:eastAsia="仿宋"/>
                <w:sz w:val="24"/>
              </w:rPr>
              <w:t>按需</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jc w:val="both"/>
            </w:pPr>
            <w:r>
              <w:rPr>
                <w:rFonts w:ascii="仿宋" w:hAnsi="仿宋" w:cs="仿宋" w:eastAsia="仿宋"/>
                <w:sz w:val="24"/>
              </w:rPr>
              <w:t>4</w:t>
            </w:r>
          </w:p>
        </w:tc>
        <w:tc>
          <w:tcPr>
            <w:tcW w:type="dxa" w:w="279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jc w:val="both"/>
            </w:pPr>
            <w:r>
              <w:rPr>
                <w:rFonts w:ascii="仿宋" w:hAnsi="仿宋" w:cs="仿宋" w:eastAsia="仿宋"/>
                <w:sz w:val="24"/>
              </w:rPr>
              <w:t>协助做好信息安全管理工作</w:t>
            </w:r>
          </w:p>
        </w:tc>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jc w:val="both"/>
            </w:pPr>
            <w:r>
              <w:rPr>
                <w:rFonts w:ascii="仿宋" w:hAnsi="仿宋" w:cs="仿宋" w:eastAsia="仿宋"/>
                <w:sz w:val="24"/>
              </w:rPr>
              <w:t>按需</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jc w:val="both"/>
            </w:pPr>
            <w:r>
              <w:rPr>
                <w:rFonts w:ascii="仿宋" w:hAnsi="仿宋" w:cs="仿宋" w:eastAsia="仿宋"/>
                <w:sz w:val="24"/>
              </w:rPr>
              <w:t>5</w:t>
            </w:r>
          </w:p>
        </w:tc>
        <w:tc>
          <w:tcPr>
            <w:tcW w:type="dxa" w:w="279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jc w:val="both"/>
            </w:pPr>
            <w:r>
              <w:rPr>
                <w:rFonts w:ascii="仿宋" w:hAnsi="仿宋" w:cs="仿宋" w:eastAsia="仿宋"/>
                <w:sz w:val="24"/>
              </w:rPr>
              <w:t>专项活动保障</w:t>
            </w:r>
          </w:p>
        </w:tc>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jc w:val="both"/>
            </w:pPr>
            <w:r>
              <w:rPr>
                <w:rFonts w:ascii="仿宋" w:hAnsi="仿宋" w:cs="仿宋" w:eastAsia="仿宋"/>
                <w:sz w:val="24"/>
              </w:rPr>
              <w:t>按需</w:t>
            </w:r>
          </w:p>
        </w:tc>
      </w:tr>
      <w:tr>
        <w:tc>
          <w:tcPr>
            <w:tcW w:type="dxa" w:w="830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jc w:val="both"/>
            </w:pPr>
            <w:r>
              <w:rPr>
                <w:rFonts w:ascii="仿宋" w:hAnsi="仿宋" w:cs="仿宋" w:eastAsia="仿宋"/>
                <w:sz w:val="24"/>
              </w:rPr>
              <w:t>二、中心</w:t>
            </w:r>
            <w:r>
              <w:rPr>
                <w:rFonts w:ascii="仿宋" w:hAnsi="仿宋" w:cs="仿宋" w:eastAsia="仿宋"/>
                <w:sz w:val="24"/>
              </w:rPr>
              <w:t>OA系统日常运维</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jc w:val="both"/>
            </w:pPr>
            <w:r>
              <w:rPr>
                <w:rFonts w:ascii="仿宋" w:hAnsi="仿宋" w:cs="仿宋" w:eastAsia="仿宋"/>
                <w:sz w:val="24"/>
              </w:rPr>
              <w:t>1</w:t>
            </w:r>
          </w:p>
        </w:tc>
        <w:tc>
          <w:tcPr>
            <w:tcW w:type="dxa" w:w="279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jc w:val="both"/>
            </w:pPr>
            <w:r>
              <w:rPr>
                <w:rFonts w:ascii="仿宋" w:hAnsi="仿宋" w:cs="仿宋" w:eastAsia="仿宋"/>
                <w:sz w:val="24"/>
              </w:rPr>
              <w:t>日常运行保障</w:t>
            </w:r>
          </w:p>
        </w:tc>
        <w:tc>
          <w:tcPr>
            <w:tcW w:type="dxa" w:w="8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jc w:val="both"/>
            </w:pPr>
            <w:r>
              <w:rPr>
                <w:rFonts w:ascii="仿宋" w:hAnsi="仿宋" w:cs="仿宋" w:eastAsia="仿宋"/>
                <w:sz w:val="24"/>
              </w:rPr>
              <w:t>每天</w:t>
            </w:r>
          </w:p>
        </w:tc>
        <w:tc>
          <w:tcPr>
            <w:tcW w:type="dxa" w:w="41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jc w:val="both"/>
            </w:pPr>
            <w:r>
              <w:rPr>
                <w:rFonts w:ascii="仿宋" w:hAnsi="仿宋" w:cs="仿宋" w:eastAsia="仿宋"/>
                <w:sz w:val="24"/>
              </w:rPr>
              <w:t>1．每年度按需提供《中心OA系统运维工作情况总结》</w:t>
            </w:r>
          </w:p>
          <w:p>
            <w:pPr>
              <w:pStyle w:val="null3"/>
              <w:spacing w:before="15"/>
              <w:jc w:val="both"/>
            </w:pPr>
            <w:r>
              <w:rPr>
                <w:rFonts w:ascii="仿宋" w:hAnsi="仿宋" w:cs="仿宋" w:eastAsia="仿宋"/>
                <w:sz w:val="24"/>
              </w:rPr>
              <w:t>2．发现安全风险问题，立即记录并撰写安全处置报告</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jc w:val="both"/>
            </w:pPr>
            <w:r>
              <w:rPr>
                <w:rFonts w:ascii="仿宋" w:hAnsi="仿宋" w:cs="仿宋" w:eastAsia="仿宋"/>
                <w:sz w:val="24"/>
              </w:rPr>
              <w:t>2</w:t>
            </w:r>
          </w:p>
        </w:tc>
        <w:tc>
          <w:tcPr>
            <w:tcW w:type="dxa" w:w="279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jc w:val="both"/>
            </w:pPr>
            <w:r>
              <w:rPr>
                <w:rFonts w:ascii="仿宋" w:hAnsi="仿宋" w:cs="仿宋" w:eastAsia="仿宋"/>
                <w:sz w:val="24"/>
              </w:rPr>
              <w:t>一体化协同办公平台升级改造</w:t>
            </w:r>
          </w:p>
        </w:tc>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jc w:val="both"/>
            </w:pPr>
            <w:r>
              <w:rPr>
                <w:rFonts w:ascii="仿宋" w:hAnsi="仿宋" w:cs="仿宋" w:eastAsia="仿宋"/>
                <w:sz w:val="24"/>
              </w:rPr>
              <w:t>按需</w:t>
            </w:r>
          </w:p>
        </w:tc>
        <w:tc>
          <w:tcPr>
            <w:tcW w:type="dxa" w:w="4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jc w:val="both"/>
            </w:pPr>
            <w:r>
              <w:rPr>
                <w:rFonts w:ascii="仿宋" w:hAnsi="仿宋" w:cs="仿宋" w:eastAsia="仿宋"/>
                <w:sz w:val="24"/>
              </w:rPr>
              <w:t>桉要求提供升级后的</w:t>
            </w:r>
            <w:r>
              <w:rPr>
                <w:rFonts w:ascii="仿宋" w:hAnsi="仿宋" w:cs="仿宋" w:eastAsia="仿宋"/>
                <w:sz w:val="24"/>
              </w:rPr>
              <w:t>一体化协同办公平台</w:t>
            </w:r>
            <w:r>
              <w:rPr>
                <w:rFonts w:ascii="仿宋" w:hAnsi="仿宋" w:cs="仿宋" w:eastAsia="仿宋"/>
                <w:sz w:val="24"/>
              </w:rPr>
              <w:t>，做好原OA系统数据迁移，与各类设备适配，全面满足中心办公设备</w:t>
            </w:r>
            <w:r>
              <w:rPr>
                <w:rFonts w:ascii="仿宋" w:hAnsi="仿宋" w:cs="仿宋" w:eastAsia="仿宋"/>
                <w:sz w:val="24"/>
              </w:rPr>
              <w:t>运行要求。</w:t>
            </w:r>
          </w:p>
        </w:tc>
      </w:tr>
      <w:tr>
        <w:tc>
          <w:tcPr>
            <w:tcW w:type="dxa" w:w="830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jc w:val="both"/>
            </w:pPr>
            <w:r>
              <w:rPr>
                <w:rFonts w:ascii="仿宋" w:hAnsi="仿宋" w:cs="仿宋" w:eastAsia="仿宋"/>
                <w:sz w:val="24"/>
              </w:rPr>
              <w:t>三、门户网站运维</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jc w:val="both"/>
            </w:pPr>
            <w:r>
              <w:rPr>
                <w:rFonts w:ascii="仿宋" w:hAnsi="仿宋" w:cs="仿宋" w:eastAsia="仿宋"/>
                <w:sz w:val="24"/>
              </w:rPr>
              <w:t>1</w:t>
            </w:r>
          </w:p>
        </w:tc>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jc w:val="both"/>
            </w:pPr>
            <w:r>
              <w:rPr>
                <w:rFonts w:ascii="仿宋" w:hAnsi="仿宋" w:cs="仿宋" w:eastAsia="仿宋"/>
                <w:sz w:val="24"/>
              </w:rPr>
              <w:t>日常运行保障</w:t>
            </w:r>
          </w:p>
        </w:tc>
        <w:tc>
          <w:tcPr>
            <w:tcW w:type="dxa" w:w="90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jc w:val="both"/>
            </w:pPr>
            <w:r>
              <w:rPr>
                <w:rFonts w:ascii="仿宋" w:hAnsi="仿宋" w:cs="仿宋" w:eastAsia="仿宋"/>
                <w:sz w:val="24"/>
              </w:rPr>
              <w:t>每天</w:t>
            </w:r>
          </w:p>
        </w:tc>
        <w:tc>
          <w:tcPr>
            <w:tcW w:type="dxa" w:w="41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jc w:val="both"/>
            </w:pPr>
            <w:r>
              <w:rPr>
                <w:rFonts w:ascii="仿宋" w:hAnsi="仿宋" w:cs="仿宋" w:eastAsia="仿宋"/>
                <w:sz w:val="24"/>
              </w:rPr>
              <w:t>1．按月提供网站运行情况报告</w:t>
            </w:r>
          </w:p>
          <w:p>
            <w:pPr>
              <w:pStyle w:val="null3"/>
              <w:spacing w:before="15"/>
              <w:jc w:val="both"/>
            </w:pPr>
            <w:r>
              <w:rPr>
                <w:rFonts w:ascii="仿宋" w:hAnsi="仿宋" w:cs="仿宋" w:eastAsia="仿宋"/>
                <w:sz w:val="24"/>
              </w:rPr>
              <w:t>2．发现安全风险问题，立即记录并撰写安全处置报告</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jc w:val="both"/>
            </w:pPr>
            <w:r>
              <w:rPr>
                <w:rFonts w:ascii="仿宋" w:hAnsi="仿宋" w:cs="仿宋" w:eastAsia="仿宋"/>
                <w:sz w:val="24"/>
              </w:rPr>
              <w:t>2</w:t>
            </w:r>
          </w:p>
        </w:tc>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jc w:val="both"/>
            </w:pPr>
            <w:r>
              <w:rPr>
                <w:rFonts w:ascii="仿宋" w:hAnsi="仿宋" w:cs="仿宋" w:eastAsia="仿宋"/>
                <w:sz w:val="24"/>
              </w:rPr>
              <w:t>网站</w:t>
            </w:r>
            <w:r>
              <w:rPr>
                <w:rFonts w:ascii="仿宋" w:hAnsi="仿宋" w:cs="仿宋" w:eastAsia="仿宋"/>
                <w:sz w:val="24"/>
              </w:rPr>
              <w:t>安全运维</w:t>
            </w:r>
          </w:p>
        </w:tc>
        <w:tc>
          <w:tcPr>
            <w:tcW w:type="dxa" w:w="9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jc w:val="both"/>
            </w:pPr>
            <w:r>
              <w:rPr>
                <w:rFonts w:ascii="仿宋" w:hAnsi="仿宋" w:cs="仿宋" w:eastAsia="仿宋"/>
                <w:sz w:val="24"/>
              </w:rPr>
              <w:t>实时</w:t>
            </w:r>
          </w:p>
        </w:tc>
        <w:tc>
          <w:tcPr>
            <w:tcW w:type="dxa" w:w="4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rPr>
              <w:t>采用相关安全技术防范手段有效处理网站出现的安全漏洞、非法入侵、非法篡改、木马病毒感染和网络攻击等问题。积极配合计算机网络安全管理部门和机构做好网站的安全检测、评估、修复和提供补丁等工作，保障网站运行过程的安全和数据安全，确保采购人网站满足信息系统安全等级保护的相关要求。</w:t>
            </w:r>
          </w:p>
        </w:tc>
      </w:tr>
    </w:tbl>
    <w:p>
      <w:pPr>
        <w:pStyle w:val="null3"/>
        <w:jc w:val="left"/>
      </w:pPr>
      <w:r>
        <w:rPr>
          <w:rFonts w:ascii="仿宋" w:hAnsi="仿宋" w:cs="仿宋" w:eastAsia="仿宋"/>
          <w:sz w:val="24"/>
          <w:b/>
        </w:rPr>
        <w:t>【指标</w:t>
      </w:r>
      <w:r>
        <w:rPr>
          <w:rFonts w:ascii="仿宋" w:hAnsi="仿宋" w:cs="仿宋" w:eastAsia="仿宋"/>
          <w:sz w:val="24"/>
          <w:b/>
        </w:rPr>
        <w:t>2</w:t>
      </w:r>
      <w:r>
        <w:rPr>
          <w:rFonts w:ascii="仿宋" w:hAnsi="仿宋" w:cs="仿宋" w:eastAsia="仿宋"/>
          <w:sz w:val="24"/>
          <w:b/>
        </w:rPr>
        <w:t>4</w:t>
      </w:r>
      <w:r>
        <w:rPr>
          <w:rFonts w:ascii="仿宋" w:hAnsi="仿宋" w:cs="仿宋" w:eastAsia="仿宋"/>
          <w:sz w:val="24"/>
          <w:b/>
        </w:rPr>
        <w:t>】</w:t>
      </w:r>
      <w:r>
        <w:rPr>
          <w:rFonts w:ascii="仿宋" w:hAnsi="仿宋" w:cs="仿宋" w:eastAsia="仿宋"/>
          <w:sz w:val="24"/>
          <w:b/>
        </w:rPr>
        <w:t>★7.运维服务考核</w:t>
      </w:r>
    </w:p>
    <w:p>
      <w:pPr>
        <w:pStyle w:val="null3"/>
        <w:jc w:val="left"/>
      </w:pPr>
      <w:r>
        <w:rPr>
          <w:rFonts w:ascii="仿宋" w:hAnsi="仿宋" w:cs="仿宋" w:eastAsia="仿宋"/>
          <w:sz w:val="24"/>
        </w:rPr>
        <w:t>为保障中标人提供高效的运维服务，采购人将对运维服务进行考核评分，若中标人运维考核结果评分得分低于</w:t>
      </w:r>
      <w:r>
        <w:rPr>
          <w:rFonts w:ascii="仿宋" w:hAnsi="仿宋" w:cs="仿宋" w:eastAsia="仿宋"/>
          <w:sz w:val="24"/>
        </w:rPr>
        <w:t>90分，则需承担相应违约责任。每六个月按以下标准对中标人本周期内的服务情况进行考核评价(总分100分)。</w:t>
      </w:r>
    </w:p>
    <w:p>
      <w:pPr>
        <w:pStyle w:val="null3"/>
        <w:jc w:val="center"/>
      </w:pPr>
      <w:r>
        <w:rPr>
          <w:rFonts w:ascii="仿宋" w:hAnsi="仿宋" w:cs="仿宋" w:eastAsia="仿宋"/>
          <w:sz w:val="24"/>
        </w:rPr>
        <w:t>考核评分表</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722"/>
        <w:gridCol w:w="1369"/>
        <w:gridCol w:w="903"/>
        <w:gridCol w:w="5312"/>
      </w:tblGrid>
      <w:tr>
        <w:tc>
          <w:tcPr>
            <w:tcW w:type="dxa" w:w="2091"/>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考核内容</w:t>
            </w:r>
          </w:p>
        </w:tc>
        <w:tc>
          <w:tcPr>
            <w:tcW w:type="dxa" w:w="90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评分</w:t>
            </w:r>
          </w:p>
        </w:tc>
        <w:tc>
          <w:tcPr>
            <w:tcW w:type="dxa" w:w="531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评分标准</w:t>
            </w:r>
          </w:p>
        </w:tc>
      </w:tr>
      <w:tr>
        <w:tc>
          <w:tcPr>
            <w:tcW w:type="dxa" w:w="72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总体</w:t>
            </w:r>
          </w:p>
          <w:p>
            <w:pPr>
              <w:pStyle w:val="null3"/>
              <w:jc w:val="both"/>
            </w:pPr>
            <w:r>
              <w:rPr>
                <w:rFonts w:ascii="仿宋" w:hAnsi="仿宋" w:cs="仿宋" w:eastAsia="仿宋"/>
                <w:sz w:val="24"/>
              </w:rPr>
              <w:t>评价</w:t>
            </w:r>
          </w:p>
        </w:tc>
        <w:tc>
          <w:tcPr>
            <w:tcW w:type="dxa" w:w="13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服务态度（满分</w:t>
            </w:r>
            <w:r>
              <w:rPr>
                <w:rFonts w:ascii="仿宋" w:hAnsi="仿宋" w:cs="仿宋" w:eastAsia="仿宋"/>
                <w:sz w:val="24"/>
              </w:rPr>
              <w:t>20分）</w:t>
            </w:r>
          </w:p>
        </w:tc>
        <w:tc>
          <w:tcPr>
            <w:tcW w:type="dxa" w:w="9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531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服务态度不好，工作推诿，服务用语不文明，被用户投诉一次扣</w:t>
            </w:r>
            <w:r>
              <w:rPr>
                <w:rFonts w:ascii="仿宋" w:hAnsi="仿宋" w:cs="仿宋" w:eastAsia="仿宋"/>
                <w:sz w:val="24"/>
              </w:rPr>
              <w:t>2分；</w:t>
            </w:r>
          </w:p>
        </w:tc>
      </w:tr>
      <w:tr>
        <w:tc>
          <w:tcPr>
            <w:tcW w:type="dxa" w:w="722"/>
            <w:vMerge/>
            <w:tcBorders>
              <w:top w:val="none" w:color="000000" w:sz="4"/>
              <w:left w:val="single" w:color="000000" w:sz="4"/>
              <w:bottom w:val="single" w:color="000000" w:sz="4"/>
              <w:right w:val="single" w:color="000000" w:sz="4"/>
            </w:tcBorders>
          </w:tcPr>
          <w:p/>
        </w:tc>
        <w:tc>
          <w:tcPr>
            <w:tcW w:type="dxa" w:w="13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响应速度（满分</w:t>
            </w:r>
            <w:r>
              <w:rPr>
                <w:rFonts w:ascii="仿宋" w:hAnsi="仿宋" w:cs="仿宋" w:eastAsia="仿宋"/>
                <w:sz w:val="24"/>
              </w:rPr>
              <w:t>20分）</w:t>
            </w:r>
          </w:p>
        </w:tc>
        <w:tc>
          <w:tcPr>
            <w:tcW w:type="dxa" w:w="9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5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未及时受理运维任务，被用户投诉一次扣</w:t>
            </w:r>
            <w:r>
              <w:rPr>
                <w:rFonts w:ascii="仿宋" w:hAnsi="仿宋" w:cs="仿宋" w:eastAsia="仿宋"/>
                <w:sz w:val="24"/>
              </w:rPr>
              <w:t>2分；无正当理由，不及时接听运维电话，或在运维群里超过两小时未回应用户咨询，每次扣2分；运维工单超时的，每次扣2分；</w:t>
            </w:r>
          </w:p>
        </w:tc>
      </w:tr>
      <w:tr>
        <w:tc>
          <w:tcPr>
            <w:tcW w:type="dxa" w:w="72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具体</w:t>
            </w:r>
          </w:p>
          <w:p>
            <w:pPr>
              <w:pStyle w:val="null3"/>
              <w:jc w:val="both"/>
            </w:pPr>
            <w:r>
              <w:rPr>
                <w:rFonts w:ascii="仿宋" w:hAnsi="仿宋" w:cs="仿宋" w:eastAsia="仿宋"/>
                <w:sz w:val="24"/>
              </w:rPr>
              <w:t>业务</w:t>
            </w:r>
          </w:p>
          <w:p>
            <w:pPr>
              <w:pStyle w:val="null3"/>
              <w:jc w:val="both"/>
            </w:pPr>
            <w:r>
              <w:rPr>
                <w:rFonts w:ascii="仿宋" w:hAnsi="仿宋" w:cs="仿宋" w:eastAsia="仿宋"/>
                <w:sz w:val="24"/>
              </w:rPr>
              <w:t>运维</w:t>
            </w:r>
          </w:p>
          <w:p>
            <w:pPr>
              <w:pStyle w:val="null3"/>
              <w:jc w:val="both"/>
            </w:pPr>
            <w:r>
              <w:rPr>
                <w:rFonts w:ascii="仿宋" w:hAnsi="仿宋" w:cs="仿宋" w:eastAsia="仿宋"/>
                <w:sz w:val="24"/>
              </w:rPr>
              <w:t>服务</w:t>
            </w:r>
          </w:p>
          <w:p>
            <w:pPr>
              <w:pStyle w:val="null3"/>
              <w:jc w:val="both"/>
            </w:pPr>
            <w:r>
              <w:rPr>
                <w:rFonts w:ascii="仿宋" w:hAnsi="仿宋" w:cs="仿宋" w:eastAsia="仿宋"/>
                <w:sz w:val="24"/>
              </w:rPr>
              <w:t>质量</w:t>
            </w:r>
          </w:p>
          <w:p>
            <w:pPr>
              <w:pStyle w:val="null3"/>
              <w:jc w:val="both"/>
            </w:pPr>
            <w:r>
              <w:rPr>
                <w:rFonts w:ascii="仿宋" w:hAnsi="仿宋" w:cs="仿宋" w:eastAsia="仿宋"/>
                <w:sz w:val="24"/>
              </w:rPr>
              <w:t>评价</w:t>
            </w:r>
          </w:p>
        </w:tc>
        <w:tc>
          <w:tcPr>
            <w:tcW w:type="dxa" w:w="13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中心日常信息化运维（满分</w:t>
            </w:r>
            <w:r>
              <w:rPr>
                <w:rFonts w:ascii="仿宋" w:hAnsi="仿宋" w:cs="仿宋" w:eastAsia="仿宋"/>
                <w:sz w:val="24"/>
              </w:rPr>
              <w:t>20分）</w:t>
            </w:r>
          </w:p>
        </w:tc>
        <w:tc>
          <w:tcPr>
            <w:tcW w:type="dxa" w:w="9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5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因运维单位管理不当造成办公网络故障，每超过</w:t>
            </w:r>
            <w:r>
              <w:rPr>
                <w:rFonts w:ascii="仿宋" w:hAnsi="仿宋" w:cs="仿宋" w:eastAsia="仿宋"/>
                <w:sz w:val="24"/>
              </w:rPr>
              <w:t>1小时的扣1分，每次最高扣3分；因运维不当造成办公设备损坏的，每次扣3分；未及时发现设备故障严重影响工作的，每次扣2分；视频会议出现故障无法开会的，每次扣3分；不配合做好安全管理工作的，每次扣5分；不配合开展专项活动的，每次扣3分；因安全问题被上级书面通报的，每次扣10分。</w:t>
            </w:r>
          </w:p>
        </w:tc>
      </w:tr>
      <w:tr>
        <w:tc>
          <w:tcPr>
            <w:tcW w:type="dxa" w:w="722"/>
            <w:vMerge/>
            <w:tcBorders>
              <w:top w:val="none" w:color="000000" w:sz="4"/>
              <w:left w:val="single" w:color="000000" w:sz="4"/>
              <w:bottom w:val="single" w:color="000000" w:sz="4"/>
              <w:right w:val="single" w:color="000000" w:sz="4"/>
            </w:tcBorders>
          </w:tcPr>
          <w:p/>
        </w:tc>
        <w:tc>
          <w:tcPr>
            <w:tcW w:type="dxa" w:w="13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中心</w:t>
            </w:r>
            <w:r>
              <w:rPr>
                <w:rFonts w:ascii="仿宋" w:hAnsi="仿宋" w:cs="仿宋" w:eastAsia="仿宋"/>
                <w:sz w:val="24"/>
              </w:rPr>
              <w:t>OA系统日常运维（满分20分）</w:t>
            </w:r>
          </w:p>
        </w:tc>
        <w:tc>
          <w:tcPr>
            <w:tcW w:type="dxa" w:w="9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5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因运维单位管理不当造成</w:t>
            </w:r>
            <w:r>
              <w:rPr>
                <w:rFonts w:ascii="仿宋" w:hAnsi="仿宋" w:cs="仿宋" w:eastAsia="仿宋"/>
                <w:sz w:val="24"/>
              </w:rPr>
              <w:t>OA系统不能正常使用，每超过1小时扣1分，每次最高扣2分；未及时备份信息造成数据丢失的，每次扣5分；不配合开展安全问题排查整改的，每次扣5分；因安全问题被上级书面通报的，每次扣5分。</w:t>
            </w:r>
          </w:p>
        </w:tc>
      </w:tr>
      <w:tr>
        <w:tc>
          <w:tcPr>
            <w:tcW w:type="dxa" w:w="722"/>
            <w:vMerge/>
            <w:tcBorders>
              <w:top w:val="none" w:color="000000" w:sz="4"/>
              <w:left w:val="single" w:color="000000" w:sz="4"/>
              <w:bottom w:val="single" w:color="000000" w:sz="4"/>
              <w:right w:val="single" w:color="000000" w:sz="4"/>
            </w:tcBorders>
          </w:tcPr>
          <w:p/>
        </w:tc>
        <w:tc>
          <w:tcPr>
            <w:tcW w:type="dxa" w:w="13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门户网站运维（满分</w:t>
            </w:r>
            <w:r>
              <w:rPr>
                <w:rFonts w:ascii="仿宋" w:hAnsi="仿宋" w:cs="仿宋" w:eastAsia="仿宋"/>
                <w:sz w:val="24"/>
              </w:rPr>
              <w:t>20分）</w:t>
            </w:r>
          </w:p>
        </w:tc>
        <w:tc>
          <w:tcPr>
            <w:tcW w:type="dxa" w:w="9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5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因运维单位管理不当造成网站不能正常运行，每天扣</w:t>
            </w:r>
            <w:r>
              <w:rPr>
                <w:rFonts w:ascii="仿宋" w:hAnsi="仿宋" w:cs="仿宋" w:eastAsia="仿宋"/>
                <w:sz w:val="24"/>
              </w:rPr>
              <w:t>1分；网站出现页面被篡改、挂马等攻击问题，每次扣20分；未按要求完成版本修改，每次扣3分；未及时备份，造成网站数据丢失，每次扣10分；不配合开展安全问题排查整改的，每次扣2分；因安全问题被上级书面通报的，每次扣5分。</w:t>
            </w:r>
          </w:p>
        </w:tc>
      </w:tr>
      <w:tr>
        <w:tc>
          <w:tcPr>
            <w:tcW w:type="dxa" w:w="2091"/>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加分项（不超过</w:t>
            </w:r>
            <w:r>
              <w:rPr>
                <w:rFonts w:ascii="仿宋" w:hAnsi="仿宋" w:cs="仿宋" w:eastAsia="仿宋"/>
                <w:sz w:val="24"/>
              </w:rPr>
              <w:t>10分）</w:t>
            </w:r>
          </w:p>
        </w:tc>
        <w:tc>
          <w:tcPr>
            <w:tcW w:type="dxa" w:w="9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5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维护团队配合完成大项活动，如展会、竞赛等，每项加</w:t>
            </w:r>
            <w:r>
              <w:rPr>
                <w:rFonts w:ascii="仿宋" w:hAnsi="仿宋" w:cs="仿宋" w:eastAsia="仿宋"/>
                <w:sz w:val="24"/>
              </w:rPr>
              <w:t>1-3分；运维方主动提出优化意见或规避重大风险方案的，并获得中心认可的，每项加1-2分。</w:t>
            </w:r>
          </w:p>
        </w:tc>
      </w:tr>
      <w:tr>
        <w:tc>
          <w:tcPr>
            <w:tcW w:type="dxa" w:w="8306"/>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加扣分原因说明：</w:t>
            </w:r>
          </w:p>
        </w:tc>
      </w:tr>
      <w:tr>
        <w:tc>
          <w:tcPr>
            <w:tcW w:type="dxa" w:w="2091"/>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总分</w:t>
            </w:r>
          </w:p>
        </w:tc>
        <w:tc>
          <w:tcPr>
            <w:tcW w:type="dxa" w:w="6215"/>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bl>
    <w:p>
      <w:pPr>
        <w:pStyle w:val="null3"/>
        <w:jc w:val="both"/>
      </w:pPr>
      <w:r>
        <w:rPr>
          <w:rFonts w:ascii="仿宋" w:hAnsi="仿宋" w:cs="仿宋" w:eastAsia="仿宋"/>
          <w:sz w:val="24"/>
        </w:rPr>
        <w:t>运维考核结果与运维费用结算挂钩，具体如下：</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2167"/>
        <w:gridCol w:w="6139"/>
      </w:tblGrid>
      <w:tr>
        <w:tc>
          <w:tcPr>
            <w:tcW w:type="dxa" w:w="2167"/>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both"/>
            </w:pPr>
            <w:r>
              <w:rPr>
                <w:rFonts w:ascii="仿宋" w:hAnsi="仿宋" w:cs="仿宋" w:eastAsia="仿宋"/>
                <w:sz w:val="24"/>
              </w:rPr>
              <w:t>考核得分</w:t>
            </w:r>
          </w:p>
        </w:tc>
        <w:tc>
          <w:tcPr>
            <w:tcW w:type="dxa" w:w="6139"/>
            <w:tcBorders>
              <w:top w:val="sing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both"/>
            </w:pPr>
            <w:r>
              <w:rPr>
                <w:rFonts w:ascii="仿宋" w:hAnsi="仿宋" w:cs="仿宋" w:eastAsia="仿宋"/>
                <w:sz w:val="24"/>
              </w:rPr>
              <w:t>结算标准</w:t>
            </w:r>
          </w:p>
        </w:tc>
      </w:tr>
      <w:tr>
        <w:tc>
          <w:tcPr>
            <w:tcW w:type="dxa" w:w="2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100分</w:t>
            </w:r>
          </w:p>
        </w:tc>
        <w:tc>
          <w:tcPr>
            <w:tcW w:type="dxa" w:w="61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全额结算，给予表扬</w:t>
            </w:r>
          </w:p>
        </w:tc>
      </w:tr>
      <w:tr>
        <w:tc>
          <w:tcPr>
            <w:tcW w:type="dxa" w:w="2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90-99分</w:t>
            </w:r>
          </w:p>
        </w:tc>
        <w:tc>
          <w:tcPr>
            <w:tcW w:type="dxa" w:w="61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全额结算</w:t>
            </w:r>
          </w:p>
        </w:tc>
      </w:tr>
      <w:tr>
        <w:tc>
          <w:tcPr>
            <w:tcW w:type="dxa" w:w="2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89-80分</w:t>
            </w:r>
          </w:p>
        </w:tc>
        <w:tc>
          <w:tcPr>
            <w:tcW w:type="dxa" w:w="61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服务商应支付合同金额</w:t>
            </w:r>
            <w:r>
              <w:rPr>
                <w:rFonts w:ascii="仿宋" w:hAnsi="仿宋" w:cs="仿宋" w:eastAsia="仿宋"/>
                <w:sz w:val="24"/>
              </w:rPr>
              <w:t>5%的违约金，采购人有权从未支付款项中先予扣除</w:t>
            </w:r>
          </w:p>
        </w:tc>
      </w:tr>
      <w:tr>
        <w:tc>
          <w:tcPr>
            <w:tcW w:type="dxa" w:w="2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79-70分</w:t>
            </w:r>
          </w:p>
        </w:tc>
        <w:tc>
          <w:tcPr>
            <w:tcW w:type="dxa" w:w="61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服务商应支付合同金额</w:t>
            </w:r>
            <w:r>
              <w:rPr>
                <w:rFonts w:ascii="仿宋" w:hAnsi="仿宋" w:cs="仿宋" w:eastAsia="仿宋"/>
                <w:sz w:val="24"/>
              </w:rPr>
              <w:t>10%的违约金，采购人有权从未支付款项中先予扣除</w:t>
            </w:r>
          </w:p>
        </w:tc>
      </w:tr>
      <w:tr>
        <w:tc>
          <w:tcPr>
            <w:tcW w:type="dxa" w:w="2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69-60分</w:t>
            </w:r>
          </w:p>
        </w:tc>
        <w:tc>
          <w:tcPr>
            <w:tcW w:type="dxa" w:w="61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服务商应支付合同金额</w:t>
            </w:r>
            <w:r>
              <w:rPr>
                <w:rFonts w:ascii="仿宋" w:hAnsi="仿宋" w:cs="仿宋" w:eastAsia="仿宋"/>
                <w:sz w:val="24"/>
              </w:rPr>
              <w:t>20%的违约金，采购人有权从未支付款项中先予扣除</w:t>
            </w:r>
          </w:p>
        </w:tc>
      </w:tr>
      <w:tr>
        <w:tc>
          <w:tcPr>
            <w:tcW w:type="dxa" w:w="2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59分以下</w:t>
            </w:r>
          </w:p>
        </w:tc>
        <w:tc>
          <w:tcPr>
            <w:tcW w:type="dxa" w:w="61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服务商应支付合同金额</w:t>
            </w:r>
            <w:r>
              <w:rPr>
                <w:rFonts w:ascii="仿宋" w:hAnsi="仿宋" w:cs="仿宋" w:eastAsia="仿宋"/>
                <w:sz w:val="24"/>
              </w:rPr>
              <w:t>50%的违约金，采购人有权从未支付款项中先予扣除</w:t>
            </w:r>
          </w:p>
        </w:tc>
      </w:tr>
    </w:tbl>
    <w:p>
      <w:pPr>
        <w:pStyle w:val="null3"/>
        <w:jc w:val="both"/>
      </w:pPr>
      <w:r>
        <w:rPr>
          <w:rFonts w:ascii="仿宋" w:hAnsi="仿宋" w:cs="仿宋" w:eastAsia="仿宋"/>
          <w:sz w:val="24"/>
        </w:rPr>
        <w:t>项目验收方法：中心各处室对运维服务评价打分，取平均分为项目考核得分。中心采购领导小组召开验收会，形成会议纪要后，作为项目费用支付的依据。</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rFonts w:ascii="仿宋" w:hAnsi="仿宋" w:cs="仿宋" w:eastAsia="仿宋"/>
          <w:sz w:val="24"/>
          <w:b/>
        </w:rPr>
        <w:t>采购包</w:t>
      </w:r>
      <w:r>
        <w:rPr>
          <w:rFonts w:ascii="仿宋" w:hAnsi="仿宋" w:cs="仿宋" w:eastAsia="仿宋"/>
          <w:sz w:val="24"/>
          <w:b/>
        </w:rPr>
        <w:t>3：2025年信息化安全运维服务</w:t>
      </w:r>
    </w:p>
    <w:p>
      <w:pPr>
        <w:pStyle w:val="null3"/>
      </w:pPr>
      <w:r>
        <w:rPr>
          <w:rFonts w:ascii="仿宋" w:hAnsi="仿宋" w:cs="仿宋" w:eastAsia="仿宋"/>
          <w:sz w:val="24"/>
          <w:b/>
        </w:rPr>
        <w:t>【指标</w:t>
      </w:r>
      <w:r>
        <w:rPr>
          <w:rFonts w:ascii="仿宋" w:hAnsi="仿宋" w:cs="仿宋" w:eastAsia="仿宋"/>
          <w:sz w:val="24"/>
          <w:b/>
        </w:rPr>
        <w:t>1】★1.服务对象</w:t>
      </w:r>
    </w:p>
    <w:p>
      <w:pPr>
        <w:pStyle w:val="null3"/>
        <w:ind w:right="45" w:firstLine="420"/>
      </w:pPr>
      <w:r>
        <w:rPr>
          <w:rFonts w:ascii="仿宋" w:hAnsi="仿宋" w:cs="仿宋" w:eastAsia="仿宋"/>
          <w:sz w:val="24"/>
        </w:rPr>
        <w:t>1.1服务对象： 单位中心机房、云平台服务器资产</w:t>
      </w:r>
    </w:p>
    <w:p>
      <w:pPr>
        <w:pStyle w:val="null3"/>
        <w:ind w:right="45" w:firstLine="420"/>
      </w:pPr>
      <w:r>
        <w:rPr>
          <w:rFonts w:ascii="仿宋" w:hAnsi="仿宋" w:cs="仿宋" w:eastAsia="仿宋"/>
          <w:sz w:val="24"/>
        </w:rPr>
        <w:t>1.2服务网络： 政务网、互联网</w:t>
      </w:r>
    </w:p>
    <w:p>
      <w:pPr>
        <w:pStyle w:val="null3"/>
        <w:ind w:right="45" w:firstLine="420"/>
      </w:pPr>
      <w:r>
        <w:rPr>
          <w:rFonts w:ascii="仿宋" w:hAnsi="仿宋" w:cs="仿宋" w:eastAsia="仿宋"/>
          <w:sz w:val="24"/>
        </w:rPr>
        <w:t>1.3服务系统：具体如下</w:t>
      </w:r>
      <w:r>
        <w:rPr>
          <w:rFonts w:ascii="仿宋" w:hAnsi="仿宋" w:cs="仿宋" w:eastAsia="仿宋"/>
          <w:sz w:val="24"/>
        </w:rPr>
        <w:t>，如服务期间有新增系统，一并列入本期安全运维。</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1014"/>
        <w:gridCol w:w="1014"/>
        <w:gridCol w:w="4796"/>
        <w:gridCol w:w="1483"/>
      </w:tblGrid>
      <w:tr>
        <w:tc>
          <w:tcPr>
            <w:tcW w:type="dxa" w:w="10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序号</w:t>
            </w:r>
          </w:p>
        </w:tc>
        <w:tc>
          <w:tcPr>
            <w:tcW w:type="dxa" w:w="10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类别</w:t>
            </w:r>
          </w:p>
        </w:tc>
        <w:tc>
          <w:tcPr>
            <w:tcW w:type="dxa" w:w="47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具体系统</w:t>
            </w:r>
          </w:p>
        </w:tc>
        <w:tc>
          <w:tcPr>
            <w:tcW w:type="dxa" w:w="14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信息系统安全等级</w:t>
            </w:r>
          </w:p>
        </w:tc>
      </w:tr>
      <w:tr>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10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托管于长乐政务云平台</w:t>
            </w:r>
          </w:p>
        </w:tc>
        <w:tc>
          <w:tcPr>
            <w:tcW w:type="dxa" w:w="4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福建省交通综合行政执法业务应用软件三期项目系统</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三级</w:t>
            </w:r>
          </w:p>
        </w:tc>
      </w:tr>
      <w:tr>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1014"/>
            <w:vMerge/>
            <w:tcBorders>
              <w:top w:val="none" w:color="000000" w:sz="4"/>
              <w:left w:val="none" w:color="000000" w:sz="4"/>
              <w:bottom w:val="single" w:color="000000" w:sz="4"/>
              <w:right w:val="single" w:color="000000" w:sz="4"/>
            </w:tcBorders>
          </w:tcPr>
          <w:p/>
        </w:tc>
        <w:tc>
          <w:tcPr>
            <w:tcW w:type="dxa" w:w="4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福建省交通综合行政执法信息系统</w:t>
            </w:r>
            <w:r>
              <w:rPr>
                <w:rFonts w:ascii="仿宋" w:hAnsi="仿宋" w:cs="仿宋" w:eastAsia="仿宋"/>
                <w:sz w:val="24"/>
              </w:rPr>
              <w:t>（一二期）</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二级</w:t>
            </w:r>
          </w:p>
        </w:tc>
      </w:tr>
      <w:tr>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1014"/>
            <w:vMerge/>
            <w:tcBorders>
              <w:top w:val="none" w:color="000000" w:sz="4"/>
              <w:left w:val="none" w:color="000000" w:sz="4"/>
              <w:bottom w:val="single" w:color="000000" w:sz="4"/>
              <w:right w:val="single" w:color="000000" w:sz="4"/>
            </w:tcBorders>
          </w:tcPr>
          <w:p/>
        </w:tc>
        <w:tc>
          <w:tcPr>
            <w:tcW w:type="dxa" w:w="4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办公自动化系统（</w:t>
            </w:r>
            <w:r>
              <w:rPr>
                <w:rFonts w:ascii="仿宋" w:hAnsi="仿宋" w:cs="仿宋" w:eastAsia="仿宋"/>
                <w:sz w:val="24"/>
              </w:rPr>
              <w:t>OA系统）</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二级</w:t>
            </w:r>
          </w:p>
        </w:tc>
      </w:tr>
    </w:tbl>
    <w:p>
      <w:pPr>
        <w:pStyle w:val="null3"/>
        <w:jc w:val="both"/>
      </w:pPr>
      <w:r>
        <w:rPr>
          <w:rFonts w:ascii="仿宋" w:hAnsi="仿宋" w:cs="仿宋" w:eastAsia="仿宋"/>
          <w:sz w:val="24"/>
          <w:b/>
        </w:rPr>
        <w:t>【指标</w:t>
      </w:r>
      <w:r>
        <w:rPr>
          <w:rFonts w:ascii="仿宋" w:hAnsi="仿宋" w:cs="仿宋" w:eastAsia="仿宋"/>
          <w:sz w:val="24"/>
          <w:b/>
        </w:rPr>
        <w:t>2】★2.服务期限：</w:t>
      </w:r>
      <w:r>
        <w:rPr>
          <w:rFonts w:ascii="仿宋" w:hAnsi="仿宋" w:cs="仿宋" w:eastAsia="仿宋"/>
          <w:sz w:val="24"/>
        </w:rPr>
        <w:t>2024年12月21日至2025年12月20日。</w:t>
      </w:r>
    </w:p>
    <w:p>
      <w:pPr>
        <w:pStyle w:val="null3"/>
      </w:pPr>
      <w:r>
        <w:rPr>
          <w:rFonts w:ascii="仿宋" w:hAnsi="仿宋" w:cs="仿宋" w:eastAsia="仿宋"/>
          <w:sz w:val="24"/>
          <w:b/>
        </w:rPr>
        <w:t>3.服务内容</w:t>
      </w:r>
    </w:p>
    <w:p>
      <w:pPr>
        <w:pStyle w:val="null3"/>
      </w:pPr>
      <w:r>
        <w:rPr>
          <w:rFonts w:ascii="仿宋" w:hAnsi="仿宋" w:cs="仿宋" w:eastAsia="仿宋"/>
          <w:sz w:val="24"/>
          <w:b/>
        </w:rPr>
        <w:t>【指标</w:t>
      </w:r>
      <w:r>
        <w:rPr>
          <w:rFonts w:ascii="仿宋" w:hAnsi="仿宋" w:cs="仿宋" w:eastAsia="仿宋"/>
          <w:sz w:val="24"/>
          <w:b/>
        </w:rPr>
        <w:t>3】★3.1服务内容一览表</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1661"/>
        <w:gridCol w:w="1661"/>
        <w:gridCol w:w="1661"/>
        <w:gridCol w:w="1661"/>
        <w:gridCol w:w="1661"/>
      </w:tblGrid>
      <w:tr>
        <w:tc>
          <w:tcPr>
            <w:tcW w:type="dxa" w:w="166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b/>
              </w:rPr>
              <w:t>类别</w:t>
            </w:r>
          </w:p>
        </w:tc>
        <w:tc>
          <w:tcPr>
            <w:tcW w:type="dxa" w:w="166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b/>
              </w:rPr>
              <w:t>序号</w:t>
            </w:r>
          </w:p>
        </w:tc>
        <w:tc>
          <w:tcPr>
            <w:tcW w:type="dxa" w:w="166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b/>
              </w:rPr>
              <w:t>服务名称</w:t>
            </w:r>
          </w:p>
        </w:tc>
        <w:tc>
          <w:tcPr>
            <w:tcW w:type="dxa" w:w="166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b/>
              </w:rPr>
              <w:t>服务频度</w:t>
            </w:r>
          </w:p>
        </w:tc>
        <w:tc>
          <w:tcPr>
            <w:tcW w:type="dxa" w:w="166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b/>
              </w:rPr>
              <w:t>服务内容</w:t>
            </w:r>
          </w:p>
        </w:tc>
      </w:tr>
      <w:tr>
        <w:tc>
          <w:tcPr>
            <w:tcW w:type="dxa" w:w="16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等保服务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等保测评服务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单次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完成指定的</w:t>
            </w:r>
            <w:r>
              <w:rPr>
                <w:rFonts w:ascii="仿宋" w:hAnsi="仿宋" w:cs="仿宋" w:eastAsia="仿宋"/>
                <w:sz w:val="24"/>
              </w:rPr>
              <w:t>1个三级系统的等级保护测评服务，并出具符合备案要求的测评报告。</w:t>
            </w: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等保咨询服务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单次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完成指定的</w:t>
            </w:r>
            <w:r>
              <w:rPr>
                <w:rFonts w:ascii="仿宋" w:hAnsi="仿宋" w:cs="仿宋" w:eastAsia="仿宋"/>
                <w:sz w:val="24"/>
              </w:rPr>
              <w:t>1个三级系统的等级保护咨询服务，服务包含资产梳理、差距分析、等保加固辅助、测评协助等，并完成指定系统的复测评备案工作。</w:t>
            </w:r>
          </w:p>
        </w:tc>
      </w:tr>
      <w:tr>
        <w:tc>
          <w:tcPr>
            <w:tcW w:type="dxa" w:w="16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业务安全检查服务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jc w:val="left"/>
            </w:pPr>
            <w:r>
              <w:rPr>
                <w:rFonts w:ascii="仿宋" w:hAnsi="仿宋" w:cs="仿宋" w:eastAsia="仿宋"/>
                <w:sz w:val="24"/>
              </w:rPr>
              <w:t>互联网暴露资产自查服务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4次/年</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jc w:val="left"/>
            </w:pPr>
            <w:r>
              <w:rPr>
                <w:rFonts w:ascii="仿宋" w:hAnsi="仿宋" w:cs="仿宋" w:eastAsia="仿宋"/>
                <w:sz w:val="24"/>
              </w:rPr>
              <w:t>梳理暴露在互联网上的资产信息（例如威胁情报能力</w:t>
            </w:r>
            <w:r>
              <w:rPr>
                <w:rFonts w:ascii="仿宋" w:hAnsi="仿宋" w:cs="仿宋" w:eastAsia="仿宋"/>
                <w:sz w:val="24"/>
              </w:rPr>
              <w:t>+人工服务），输出互联网暴露端口列表和漏洞情况，提供安全整改建议报告、督促完成安全整改</w:t>
            </w: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jc w:val="left"/>
            </w:pPr>
            <w:r>
              <w:rPr>
                <w:rFonts w:ascii="仿宋" w:hAnsi="仿宋" w:cs="仿宋" w:eastAsia="仿宋"/>
                <w:sz w:val="24"/>
              </w:rPr>
              <w:t>渗透测试</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2次/年</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jc w:val="left"/>
            </w:pPr>
            <w:r>
              <w:rPr>
                <w:rFonts w:ascii="仿宋" w:hAnsi="仿宋" w:cs="仿宋" w:eastAsia="仿宋"/>
                <w:sz w:val="24"/>
              </w:rPr>
              <w:t>从安全攻击链视角对互联网应用系统开展全方位的安全渗透测试工作，以全面发现应用系统安全问题与隐患，如：暴力破解、弱口令、</w:t>
            </w:r>
            <w:r>
              <w:rPr>
                <w:rFonts w:ascii="仿宋" w:hAnsi="仿宋" w:cs="仿宋" w:eastAsia="仿宋"/>
                <w:sz w:val="24"/>
              </w:rPr>
              <w:t>SQL注入、目录遍历等。</w:t>
            </w: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jc w:val="left"/>
            </w:pPr>
            <w:r>
              <w:rPr>
                <w:rFonts w:ascii="仿宋" w:hAnsi="仿宋" w:cs="仿宋" w:eastAsia="仿宋"/>
                <w:sz w:val="24"/>
              </w:rPr>
              <w:t>网站安全监控服务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1套/年</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jc w:val="left"/>
            </w:pPr>
            <w:r>
              <w:rPr>
                <w:rFonts w:ascii="仿宋" w:hAnsi="仿宋" w:cs="仿宋" w:eastAsia="仿宋"/>
                <w:sz w:val="24"/>
              </w:rPr>
              <w:t>1年365天通过专业的网站安全监控平台对服务范围内指定的互联网业务系统进行网站安全实时监测。</w:t>
            </w:r>
          </w:p>
        </w:tc>
      </w:tr>
      <w:tr>
        <w:tc>
          <w:tcPr>
            <w:tcW w:type="dxa" w:w="16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ind w:right="45"/>
              <w:jc w:val="center"/>
            </w:pPr>
            <w:r>
              <w:rPr>
                <w:rFonts w:ascii="仿宋" w:hAnsi="仿宋" w:cs="仿宋" w:eastAsia="仿宋"/>
                <w:sz w:val="24"/>
              </w:rPr>
              <w:t>系统安全运维服务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ind w:right="45"/>
              <w:jc w:val="center"/>
            </w:pPr>
            <w:r>
              <w:rPr>
                <w:rFonts w:ascii="仿宋" w:hAnsi="仿宋" w:cs="仿宋" w:eastAsia="仿宋"/>
                <w:sz w:val="24"/>
              </w:rPr>
              <w:t>6</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ind w:right="45"/>
              <w:jc w:val="left"/>
            </w:pPr>
            <w:r>
              <w:rPr>
                <w:rFonts w:ascii="仿宋" w:hAnsi="仿宋" w:cs="仿宋" w:eastAsia="仿宋"/>
                <w:sz w:val="24"/>
              </w:rPr>
              <w:t>安全巡检服务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12次/年</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定期对本次服务对象进行巡检及日志分析服务，并提供巡检报告。</w:t>
            </w: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7</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安全检测服务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4次/年</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定期对服务器、网络设备、数据库、应用系统等进行一次全面的系统漏洞扫描和安全配置检查，清晰定性安全风险，给出修复建议和预防措施，并进行跟踪处理；提供检测报告</w:t>
            </w: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8</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安全配置核查服务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4次/年</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针对服务范围内的操作系统、网络设备、数据库、中间件等通过专门的核查工具对可能存在的不安全配置项与安全隐患进行检查，并提供安全配置加固建议。</w:t>
            </w: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9</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安全加固指导服务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4次/年</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在服务期内针对巡检报告和渗透测试报告，提供加固方案与加固实施回退方案，从而增强信息系统抵抗风险的能力，从而提高整个系统的安全性。加固范围包含主机系统，软件系统，数据库系统、网络设备、网络安全设备、网站等。</w:t>
            </w: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10</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安全措施有效性验证服务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2次/年</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定期进行本地中心机房安全措施有效性验证工作，验证本地机房的核心网络设备、安全设备的安全配置符合安全策略要求，验证安全设备的策略是否为最小权限、最小服务，设备的安全审计日志正常工作，能够正确记录安全事件的来源和事件。</w:t>
            </w: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基层终端安全检查服务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4次/年</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定期对指定的基层办公主机等进行定期的漏洞测试、弱口令测试、基线策略核查等。使用专业的漏洞检查工具，通过扫描的方式来识别办公主机的漏洞和安全性问题，并针对发现的问题提供解决建议或进行及时的修正。</w:t>
            </w: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保密检查服务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4次/年</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定期通过最新版计算机保密检查在线工具和线下软件对中心内外网计算机进行专项保密检查。搜集计算机上的敏感文件信息、上网痕迹信息、移动设备插拔记录、通信设备使用记录等信息。</w:t>
            </w: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13</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新系统上线检测服务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单次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按照等保及</w:t>
            </w:r>
            <w:r>
              <w:rPr>
                <w:rFonts w:ascii="仿宋" w:hAnsi="仿宋" w:cs="仿宋" w:eastAsia="仿宋"/>
                <w:sz w:val="24"/>
              </w:rPr>
              <w:t>中心</w:t>
            </w:r>
            <w:r>
              <w:rPr>
                <w:rFonts w:ascii="仿宋" w:hAnsi="仿宋" w:cs="仿宋" w:eastAsia="仿宋"/>
                <w:sz w:val="24"/>
              </w:rPr>
              <w:t>定级要求对新业务上线前进行一次安全检查，并提供检测诊断报告。</w:t>
            </w:r>
          </w:p>
        </w:tc>
      </w:tr>
      <w:tr>
        <w:tc>
          <w:tcPr>
            <w:tcW w:type="dxa" w:w="16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ind w:right="45"/>
              <w:jc w:val="left"/>
            </w:pPr>
            <w:r>
              <w:rPr>
                <w:rFonts w:ascii="仿宋" w:hAnsi="仿宋" w:cs="仿宋" w:eastAsia="仿宋"/>
                <w:sz w:val="24"/>
              </w:rPr>
              <w:t>综合服务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ind w:right="45"/>
              <w:jc w:val="center"/>
            </w:pPr>
            <w:r>
              <w:rPr>
                <w:rFonts w:ascii="仿宋" w:hAnsi="仿宋" w:cs="仿宋" w:eastAsia="仿宋"/>
                <w:sz w:val="24"/>
              </w:rPr>
              <w:t>14</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ind w:right="45"/>
              <w:jc w:val="left"/>
            </w:pPr>
            <w:r>
              <w:rPr>
                <w:rFonts w:ascii="仿宋" w:hAnsi="仿宋" w:cs="仿宋" w:eastAsia="仿宋"/>
                <w:sz w:val="24"/>
              </w:rPr>
              <w:t>安全通告服务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1套/年</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根据最新的安全形势，及时发送安全通告和预警。</w:t>
            </w: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安全培训服务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1次/年</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每年</w:t>
            </w:r>
            <w:r>
              <w:rPr>
                <w:rFonts w:ascii="仿宋" w:hAnsi="仿宋" w:cs="仿宋" w:eastAsia="仿宋"/>
                <w:sz w:val="24"/>
              </w:rPr>
              <w:t>1次集中安全基础技术培训，提供相应课程教材</w:t>
            </w: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16</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演练支撑服务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1次/年</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协助中心参与上级主管部门组织的攻防演练活动，一年至少一次，安排技术人员进行值守保障工作，并按照要求提供相关台账材料。</w:t>
            </w: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17</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安全咨询服务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全年</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提供信息化规划、技术体系等上的支撑</w:t>
            </w: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18</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基础制度文档编写服务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全年</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按照等级保护要求及</w:t>
            </w:r>
            <w:r>
              <w:rPr>
                <w:rFonts w:ascii="仿宋" w:hAnsi="仿宋" w:cs="仿宋" w:eastAsia="仿宋"/>
                <w:sz w:val="24"/>
              </w:rPr>
              <w:t>ISO27000要求要求编写文档。</w:t>
            </w: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19</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应急响应服务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全年</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全天候，</w:t>
            </w:r>
            <w:r>
              <w:rPr>
                <w:rFonts w:ascii="仿宋" w:hAnsi="仿宋" w:cs="仿宋" w:eastAsia="仿宋"/>
                <w:sz w:val="24"/>
              </w:rPr>
              <w:t>1小时到达现场，每次提供相应的响应报告，找出根源并提供可行解决方案（远程无法解决的安全事件）</w:t>
            </w: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20</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专题保障服务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全年</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为全国两会、国庆、国际会议等重大活动提供特殊保障服务。</w:t>
            </w: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检查支撑服务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全年</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针对中心收到的上级部门或者监管单位下发网络安全相关的通知或者文件要求，安排工程师提供相关的支撑工作。</w:t>
            </w: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实战演练服务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1次/年</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在服务期内按照中心要求组织一次针对全省治超监测监控指挥中心平台软件的实战演练服务</w:t>
            </w:r>
          </w:p>
        </w:tc>
      </w:tr>
      <w:tr>
        <w:tc>
          <w:tcPr>
            <w:tcW w:type="dxa" w:w="16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其他服务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23</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终端防护服务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1套</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在服务期内为中心提供终端安全防护服务，提升日常办公终端的安全。</w:t>
            </w: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24</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机房安全防护服务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按需</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加强中心本地机房安全防护，包括但不限于安全设备更新，提供设备扩容、版本更新，特征库进行升级，现场支持、故障响应修复备机等安全服务。</w:t>
            </w: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
              <w:jc w:val="both"/>
            </w:pPr>
            <w:r>
              <w:rPr>
                <w:rFonts w:ascii="汉仪文黑-55简" w:hAnsi="汉仪文黑-55简" w:cs="汉仪文黑-55简" w:eastAsia="汉仪文黑-55简"/>
                <w:sz w:val="24"/>
              </w:rPr>
              <w:t>文件内容审核服务</w:t>
            </w:r>
          </w:p>
          <w:p>
            <w:pPr>
              <w:pStyle w:val="null3"/>
              <w:jc w:val="center"/>
            </w:p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按需</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
              <w:jc w:val="both"/>
            </w:pPr>
            <w:r>
              <w:rPr>
                <w:rFonts w:ascii="汉仪文黑-55简" w:hAnsi="汉仪文黑-55简" w:cs="汉仪文黑-55简" w:eastAsia="汉仪文黑-55简"/>
                <w:sz w:val="24"/>
              </w:rPr>
              <w:t>提供线上平台或软件，对文件内容进行审核。用户在平台上输入文字内容或提交文件后，平台对内容中文字错误、语法格式错误、不良文字、重要内容表述错误等问题进行提示，并给出正确的参考意见。</w:t>
            </w:r>
          </w:p>
          <w:p>
            <w:pPr>
              <w:pStyle w:val="null3"/>
              <w:jc w:val="center"/>
            </w:pP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26</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大屏内容监测服务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按需</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在中心</w:t>
            </w:r>
            <w:r>
              <w:rPr>
                <w:rFonts w:ascii="仿宋" w:hAnsi="仿宋" w:cs="仿宋" w:eastAsia="仿宋"/>
                <w:sz w:val="24"/>
              </w:rPr>
              <w:t>及厅政务服务中心大厅</w:t>
            </w:r>
            <w:r>
              <w:rPr>
                <w:rFonts w:ascii="仿宋" w:hAnsi="仿宋" w:cs="仿宋" w:eastAsia="仿宋"/>
                <w:sz w:val="24"/>
              </w:rPr>
              <w:t>部署</w:t>
            </w:r>
            <w:r>
              <w:rPr>
                <w:rFonts w:ascii="仿宋" w:hAnsi="仿宋" w:cs="仿宋" w:eastAsia="仿宋"/>
                <w:sz w:val="24"/>
              </w:rPr>
              <w:t>大屏内容监测</w:t>
            </w:r>
            <w:r>
              <w:rPr>
                <w:rFonts w:ascii="仿宋" w:hAnsi="仿宋" w:cs="仿宋" w:eastAsia="仿宋"/>
                <w:sz w:val="24"/>
              </w:rPr>
              <w:t>设备，对涉黄、涉恐、不良文字内容实时审核拦截，并提供安全替换屏幕内容，防止公共大屏播放不良内容。</w:t>
            </w:r>
          </w:p>
        </w:tc>
      </w:tr>
    </w:tbl>
    <w:p>
      <w:pPr>
        <w:pStyle w:val="null3"/>
        <w:ind w:firstLine="372"/>
        <w:jc w:val="both"/>
      </w:pPr>
      <w:r>
        <w:rPr/>
        <w:t xml:space="preserve"> </w:t>
      </w:r>
    </w:p>
    <w:p>
      <w:pPr>
        <w:pStyle w:val="null3"/>
        <w:ind w:firstLine="372"/>
        <w:jc w:val="both"/>
      </w:pPr>
      <w:r>
        <w:rPr>
          <w:rFonts w:ascii="仿宋" w:hAnsi="仿宋" w:cs="仿宋" w:eastAsia="仿宋"/>
          <w:sz w:val="24"/>
          <w:b/>
        </w:rPr>
        <w:t>3.2服务详细内容</w:t>
      </w:r>
    </w:p>
    <w:p>
      <w:pPr>
        <w:pStyle w:val="null3"/>
        <w:ind w:firstLine="482"/>
        <w:jc w:val="both"/>
      </w:pPr>
      <w:r>
        <w:rPr>
          <w:rFonts w:ascii="仿宋" w:hAnsi="仿宋" w:cs="仿宋" w:eastAsia="仿宋"/>
          <w:sz w:val="24"/>
          <w:b/>
        </w:rPr>
        <w:t>【指标</w:t>
      </w:r>
      <w:r>
        <w:rPr>
          <w:rFonts w:ascii="仿宋" w:hAnsi="仿宋" w:cs="仿宋" w:eastAsia="仿宋"/>
          <w:sz w:val="24"/>
          <w:b/>
        </w:rPr>
        <w:t>4】3.2.1等级保护咨询服务</w:t>
      </w:r>
    </w:p>
    <w:p>
      <w:pPr>
        <w:pStyle w:val="null3"/>
        <w:ind w:firstLine="480"/>
        <w:jc w:val="both"/>
      </w:pPr>
      <w:r>
        <w:rPr>
          <w:rFonts w:ascii="仿宋" w:hAnsi="仿宋" w:cs="仿宋" w:eastAsia="仿宋"/>
          <w:sz w:val="24"/>
        </w:rPr>
        <w:t>完成</w:t>
      </w:r>
      <w:r>
        <w:rPr>
          <w:rFonts w:ascii="仿宋" w:hAnsi="仿宋" w:cs="仿宋" w:eastAsia="仿宋"/>
          <w:sz w:val="24"/>
        </w:rPr>
        <w:t>1个三级业务系统的等保测评咨询服务，提供等保差距评估、安全加固等相关等保测评咨询服务，使相关系统在测评前符合安全合规要求，并完成复测评的备案服务。</w:t>
      </w:r>
    </w:p>
    <w:p>
      <w:pPr>
        <w:pStyle w:val="null3"/>
        <w:jc w:val="both"/>
      </w:pPr>
      <w:r>
        <w:rPr>
          <w:rFonts w:ascii="仿宋" w:hAnsi="仿宋" w:cs="仿宋" w:eastAsia="仿宋"/>
          <w:sz w:val="24"/>
          <w:b/>
        </w:rPr>
        <w:t>【指标</w:t>
      </w:r>
      <w:r>
        <w:rPr>
          <w:rFonts w:ascii="仿宋" w:hAnsi="仿宋" w:cs="仿宋" w:eastAsia="仿宋"/>
          <w:sz w:val="24"/>
          <w:b/>
        </w:rPr>
        <w:t>5】</w:t>
      </w:r>
      <w:r>
        <w:rPr>
          <w:rFonts w:ascii="仿宋" w:hAnsi="仿宋" w:cs="仿宋" w:eastAsia="仿宋"/>
          <w:sz w:val="24"/>
        </w:rPr>
        <w:t>资产分析服务</w:t>
      </w:r>
    </w:p>
    <w:p>
      <w:pPr>
        <w:pStyle w:val="null3"/>
        <w:jc w:val="both"/>
      </w:pPr>
      <w:r>
        <w:rPr>
          <w:rFonts w:ascii="仿宋" w:hAnsi="仿宋" w:cs="仿宋" w:eastAsia="仿宋"/>
          <w:sz w:val="24"/>
        </w:rPr>
        <w:t xml:space="preserve">    </w:t>
      </w:r>
      <w:r>
        <w:rPr>
          <w:rFonts w:ascii="仿宋" w:hAnsi="仿宋" w:cs="仿宋" w:eastAsia="仿宋"/>
          <w:sz w:val="24"/>
        </w:rPr>
        <w:t>（</w:t>
      </w:r>
      <w:r>
        <w:rPr>
          <w:rFonts w:ascii="仿宋" w:hAnsi="仿宋" w:cs="仿宋" w:eastAsia="仿宋"/>
          <w:sz w:val="24"/>
        </w:rPr>
        <w:t>1）根据服务范围内的应用组成，派遣专业工程师到现场整理系统的网络结构拓扑以及相关联的资产，编制信息系统资产清单及资产报告。</w:t>
      </w:r>
    </w:p>
    <w:p>
      <w:pPr>
        <w:pStyle w:val="null3"/>
        <w:ind w:firstLine="480"/>
        <w:jc w:val="both"/>
      </w:pPr>
      <w:r>
        <w:rPr>
          <w:rFonts w:ascii="仿宋" w:hAnsi="仿宋" w:cs="仿宋" w:eastAsia="仿宋"/>
          <w:sz w:val="24"/>
        </w:rPr>
        <w:t>（</w:t>
      </w:r>
      <w:r>
        <w:rPr>
          <w:rFonts w:ascii="仿宋" w:hAnsi="仿宋" w:cs="仿宋" w:eastAsia="仿宋"/>
          <w:sz w:val="24"/>
        </w:rPr>
        <w:t>2）对服务范围内信息系统开展物理环境、网络结构、设备配置、应用系统以及管理制度进行调研和梳理，编制信息系统详细描述文档。</w:t>
      </w:r>
    </w:p>
    <w:p>
      <w:pPr>
        <w:pStyle w:val="null3"/>
        <w:jc w:val="both"/>
      </w:pPr>
      <w:r>
        <w:rPr>
          <w:rFonts w:ascii="仿宋" w:hAnsi="仿宋" w:cs="仿宋" w:eastAsia="仿宋"/>
          <w:sz w:val="24"/>
          <w:b/>
        </w:rPr>
        <w:t>【指标</w:t>
      </w:r>
      <w:r>
        <w:rPr>
          <w:rFonts w:ascii="仿宋" w:hAnsi="仿宋" w:cs="仿宋" w:eastAsia="仿宋"/>
          <w:sz w:val="24"/>
          <w:b/>
        </w:rPr>
        <w:t>6】</w:t>
      </w:r>
      <w:r>
        <w:rPr>
          <w:rFonts w:ascii="仿宋" w:hAnsi="仿宋" w:cs="仿宋" w:eastAsia="仿宋"/>
          <w:sz w:val="24"/>
        </w:rPr>
        <w:t>等保风险评估服务</w:t>
      </w:r>
    </w:p>
    <w:p>
      <w:pPr>
        <w:pStyle w:val="null3"/>
        <w:ind w:firstLine="480"/>
        <w:jc w:val="both"/>
      </w:pPr>
      <w:r>
        <w:rPr>
          <w:rFonts w:ascii="仿宋" w:hAnsi="仿宋" w:cs="仿宋" w:eastAsia="仿宋"/>
          <w:sz w:val="24"/>
        </w:rPr>
        <w:t>通过现场评估、脆弱性评估以及渗透测试等技术手段分析信息系统安全风险以及基线差距。</w:t>
      </w:r>
    </w:p>
    <w:p>
      <w:pPr>
        <w:pStyle w:val="null3"/>
        <w:jc w:val="both"/>
      </w:pPr>
      <w:r>
        <w:rPr>
          <w:rFonts w:ascii="仿宋" w:hAnsi="仿宋" w:cs="仿宋" w:eastAsia="仿宋"/>
          <w:sz w:val="24"/>
          <w:b/>
        </w:rPr>
        <w:t>【指标</w:t>
      </w:r>
      <w:r>
        <w:rPr>
          <w:rFonts w:ascii="仿宋" w:hAnsi="仿宋" w:cs="仿宋" w:eastAsia="仿宋"/>
          <w:sz w:val="24"/>
          <w:b/>
        </w:rPr>
        <w:t>7】</w:t>
      </w:r>
      <w:r>
        <w:rPr>
          <w:rFonts w:ascii="仿宋" w:hAnsi="仿宋" w:cs="仿宋" w:eastAsia="仿宋"/>
          <w:sz w:val="24"/>
        </w:rPr>
        <w:t>等保差距评估服务</w:t>
      </w:r>
    </w:p>
    <w:p>
      <w:pPr>
        <w:pStyle w:val="null3"/>
        <w:ind w:firstLine="480"/>
        <w:jc w:val="both"/>
      </w:pPr>
      <w:r>
        <w:rPr>
          <w:rFonts w:ascii="仿宋" w:hAnsi="仿宋" w:cs="仿宋" w:eastAsia="仿宋"/>
          <w:sz w:val="24"/>
        </w:rPr>
        <w:t>在安全评估和信息系统定级的基础上，根据《信息系统安全保护等级基本要求》将定级信息系统等级保护的各项基本要求与信息安全现状进行比较分析，从管理和技术两个层面找出存在的问题并进行差距分析。</w:t>
      </w:r>
    </w:p>
    <w:p>
      <w:pPr>
        <w:pStyle w:val="null3"/>
        <w:jc w:val="both"/>
      </w:pPr>
      <w:r>
        <w:rPr>
          <w:rFonts w:ascii="仿宋" w:hAnsi="仿宋" w:cs="仿宋" w:eastAsia="仿宋"/>
          <w:sz w:val="24"/>
          <w:b/>
        </w:rPr>
        <w:t>【指标</w:t>
      </w:r>
      <w:r>
        <w:rPr>
          <w:rFonts w:ascii="仿宋" w:hAnsi="仿宋" w:cs="仿宋" w:eastAsia="仿宋"/>
          <w:sz w:val="24"/>
          <w:b/>
        </w:rPr>
        <w:t>8】</w:t>
      </w:r>
      <w:r>
        <w:rPr>
          <w:rFonts w:ascii="仿宋" w:hAnsi="仿宋" w:cs="仿宋" w:eastAsia="仿宋"/>
          <w:sz w:val="24"/>
        </w:rPr>
        <w:t>需求分析与设计服务：</w:t>
      </w:r>
    </w:p>
    <w:p>
      <w:pPr>
        <w:pStyle w:val="null3"/>
        <w:ind w:firstLine="480"/>
        <w:jc w:val="both"/>
      </w:pPr>
      <w:r>
        <w:rPr>
          <w:rFonts w:ascii="仿宋" w:hAnsi="仿宋" w:cs="仿宋" w:eastAsia="仿宋"/>
          <w:sz w:val="24"/>
        </w:rPr>
        <w:t>对服务范围内信息系统按照差距分析报告对应策略设计整改加固措施，面向保护对象设计安全计算环境安全、安全区域边界安全、安全通信网络等方面的整改加固实施方案。</w:t>
      </w:r>
    </w:p>
    <w:p>
      <w:pPr>
        <w:pStyle w:val="null3"/>
        <w:jc w:val="both"/>
      </w:pPr>
      <w:r>
        <w:rPr>
          <w:rFonts w:ascii="仿宋" w:hAnsi="仿宋" w:cs="仿宋" w:eastAsia="仿宋"/>
          <w:sz w:val="24"/>
        </w:rPr>
        <w:t xml:space="preserve">    </w:t>
      </w:r>
      <w:r>
        <w:rPr>
          <w:rFonts w:ascii="仿宋" w:hAnsi="仿宋" w:cs="仿宋" w:eastAsia="仿宋"/>
          <w:sz w:val="24"/>
        </w:rPr>
        <w:t>开展详细设计工作，完成网络结构框架设计、功能设计、性能设计、部署方案设计、安全策略设计等方面，形成安全整改加固工作规范书。</w:t>
      </w:r>
    </w:p>
    <w:p>
      <w:pPr>
        <w:pStyle w:val="null3"/>
        <w:jc w:val="both"/>
      </w:pPr>
      <w:r>
        <w:rPr>
          <w:rFonts w:ascii="仿宋" w:hAnsi="仿宋" w:cs="仿宋" w:eastAsia="仿宋"/>
          <w:sz w:val="24"/>
          <w:b/>
        </w:rPr>
        <w:t>【指标</w:t>
      </w:r>
      <w:r>
        <w:rPr>
          <w:rFonts w:ascii="仿宋" w:hAnsi="仿宋" w:cs="仿宋" w:eastAsia="仿宋"/>
          <w:sz w:val="24"/>
          <w:b/>
        </w:rPr>
        <w:t>9】</w:t>
      </w:r>
      <w:r>
        <w:rPr>
          <w:rFonts w:ascii="仿宋" w:hAnsi="仿宋" w:cs="仿宋" w:eastAsia="仿宋"/>
          <w:sz w:val="24"/>
        </w:rPr>
        <w:t>等保安全加固服务：</w:t>
      </w:r>
    </w:p>
    <w:p>
      <w:pPr>
        <w:pStyle w:val="null3"/>
        <w:ind w:firstLine="480"/>
        <w:jc w:val="both"/>
      </w:pPr>
      <w:r>
        <w:rPr>
          <w:rFonts w:ascii="仿宋" w:hAnsi="仿宋" w:cs="仿宋" w:eastAsia="仿宋"/>
          <w:sz w:val="24"/>
        </w:rPr>
        <w:t>派遣专业工程师到现场根据等保安全加固指导书实施边界防护安全策略优化、服务器、虚拟机（</w:t>
      </w:r>
      <w:r>
        <w:rPr>
          <w:rFonts w:ascii="仿宋" w:hAnsi="仿宋" w:cs="仿宋" w:eastAsia="仿宋"/>
          <w:sz w:val="24"/>
        </w:rPr>
        <w:t>Windows、Linux）病毒检查与清理、主机安全加固、数据库安全加固以及应用安全加固辅导。</w:t>
      </w:r>
    </w:p>
    <w:p>
      <w:pPr>
        <w:pStyle w:val="null3"/>
        <w:jc w:val="both"/>
      </w:pPr>
      <w:r>
        <w:rPr>
          <w:rFonts w:ascii="仿宋" w:hAnsi="仿宋" w:cs="仿宋" w:eastAsia="仿宋"/>
          <w:sz w:val="24"/>
          <w:b/>
        </w:rPr>
        <w:t>【指标</w:t>
      </w:r>
      <w:r>
        <w:rPr>
          <w:rFonts w:ascii="仿宋" w:hAnsi="仿宋" w:cs="仿宋" w:eastAsia="仿宋"/>
          <w:sz w:val="24"/>
          <w:b/>
        </w:rPr>
        <w:t>10】</w:t>
      </w:r>
      <w:r>
        <w:rPr>
          <w:rFonts w:ascii="仿宋" w:hAnsi="仿宋" w:cs="仿宋" w:eastAsia="仿宋"/>
          <w:sz w:val="24"/>
        </w:rPr>
        <w:t>等保制度辅助建设服务</w:t>
      </w:r>
    </w:p>
    <w:p>
      <w:pPr>
        <w:pStyle w:val="null3"/>
        <w:ind w:firstLine="480"/>
        <w:jc w:val="both"/>
      </w:pPr>
      <w:r>
        <w:rPr>
          <w:rFonts w:ascii="仿宋" w:hAnsi="仿宋" w:cs="仿宋" w:eastAsia="仿宋"/>
          <w:sz w:val="24"/>
        </w:rPr>
        <w:t>安全管理制度建设，主要包括但不限于信息安全工作职责，信息安全监督、检查机制；辅助</w:t>
      </w:r>
      <w:r>
        <w:rPr>
          <w:rFonts w:ascii="仿宋" w:hAnsi="仿宋" w:cs="仿宋" w:eastAsia="仿宋"/>
          <w:sz w:val="24"/>
        </w:rPr>
        <w:t>中心</w:t>
      </w:r>
      <w:r>
        <w:rPr>
          <w:rFonts w:ascii="仿宋" w:hAnsi="仿宋" w:cs="仿宋" w:eastAsia="仿宋"/>
          <w:sz w:val="24"/>
        </w:rPr>
        <w:t>编写方针、制度、各类记录表格模板在内的三层结构的安全管理制度，达到等级保护测评要求。</w:t>
      </w:r>
    </w:p>
    <w:p>
      <w:pPr>
        <w:pStyle w:val="null3"/>
        <w:jc w:val="both"/>
      </w:pPr>
      <w:r>
        <w:rPr>
          <w:rFonts w:ascii="仿宋" w:hAnsi="仿宋" w:cs="仿宋" w:eastAsia="仿宋"/>
          <w:sz w:val="24"/>
          <w:b/>
        </w:rPr>
        <w:t>【指标</w:t>
      </w:r>
      <w:r>
        <w:rPr>
          <w:rFonts w:ascii="仿宋" w:hAnsi="仿宋" w:cs="仿宋" w:eastAsia="仿宋"/>
          <w:sz w:val="24"/>
          <w:b/>
        </w:rPr>
        <w:t>11】</w:t>
      </w:r>
      <w:r>
        <w:rPr>
          <w:rFonts w:ascii="仿宋" w:hAnsi="仿宋" w:cs="仿宋" w:eastAsia="仿宋"/>
          <w:sz w:val="24"/>
        </w:rPr>
        <w:t>策略复查服务：</w:t>
      </w:r>
    </w:p>
    <w:p>
      <w:pPr>
        <w:pStyle w:val="null3"/>
        <w:ind w:firstLine="480"/>
        <w:jc w:val="both"/>
      </w:pPr>
      <w:r>
        <w:rPr>
          <w:rFonts w:ascii="仿宋" w:hAnsi="仿宋" w:cs="仿宋" w:eastAsia="仿宋"/>
          <w:sz w:val="24"/>
        </w:rPr>
        <w:t>派遣专业工程师到现场针对加固前后的系统脆弱性进行复查，复查手段包括但不限于协议分析、漏洞扫描、漏洞验证以及配置核查等方法。</w:t>
      </w:r>
    </w:p>
    <w:p>
      <w:pPr>
        <w:pStyle w:val="null3"/>
        <w:ind w:firstLine="480"/>
        <w:jc w:val="both"/>
      </w:pPr>
      <w:r>
        <w:rPr>
          <w:rFonts w:ascii="仿宋" w:hAnsi="仿宋" w:cs="仿宋" w:eastAsia="仿宋"/>
          <w:sz w:val="24"/>
        </w:rPr>
        <w:t>复查结束后，形成加固前后对比复查报告。</w:t>
      </w:r>
    </w:p>
    <w:p>
      <w:pPr>
        <w:pStyle w:val="null3"/>
        <w:jc w:val="both"/>
      </w:pPr>
      <w:r>
        <w:rPr>
          <w:rFonts w:ascii="仿宋" w:hAnsi="仿宋" w:cs="仿宋" w:eastAsia="仿宋"/>
          <w:sz w:val="24"/>
          <w:b/>
        </w:rPr>
        <w:t>【指标</w:t>
      </w:r>
      <w:r>
        <w:rPr>
          <w:rFonts w:ascii="仿宋" w:hAnsi="仿宋" w:cs="仿宋" w:eastAsia="仿宋"/>
          <w:sz w:val="24"/>
          <w:b/>
        </w:rPr>
        <w:t>12】</w:t>
      </w:r>
      <w:r>
        <w:rPr>
          <w:rFonts w:ascii="仿宋" w:hAnsi="仿宋" w:cs="仿宋" w:eastAsia="仿宋"/>
          <w:sz w:val="24"/>
        </w:rPr>
        <w:t>等保测评现场辅助服务</w:t>
      </w:r>
    </w:p>
    <w:p>
      <w:pPr>
        <w:pStyle w:val="null3"/>
        <w:ind w:firstLine="480"/>
        <w:jc w:val="both"/>
      </w:pPr>
      <w:r>
        <w:rPr>
          <w:rFonts w:ascii="仿宋" w:hAnsi="仿宋" w:cs="仿宋" w:eastAsia="仿宋"/>
          <w:sz w:val="24"/>
        </w:rPr>
        <w:t>在服务期内协助福建省测评机构完成测评数据采集等工作，直至备案系统通过等级测评。</w:t>
      </w:r>
    </w:p>
    <w:p>
      <w:pPr>
        <w:pStyle w:val="null3"/>
        <w:jc w:val="both"/>
      </w:pPr>
      <w:r>
        <w:rPr>
          <w:rFonts w:ascii="仿宋" w:hAnsi="仿宋" w:cs="仿宋" w:eastAsia="仿宋"/>
          <w:sz w:val="24"/>
          <w:b/>
        </w:rPr>
        <w:t>【指标</w:t>
      </w:r>
      <w:r>
        <w:rPr>
          <w:rFonts w:ascii="仿宋" w:hAnsi="仿宋" w:cs="仿宋" w:eastAsia="仿宋"/>
          <w:sz w:val="24"/>
          <w:b/>
        </w:rPr>
        <w:t>13】</w:t>
      </w:r>
      <w:r>
        <w:rPr>
          <w:rFonts w:ascii="仿宋" w:hAnsi="仿宋" w:cs="仿宋" w:eastAsia="仿宋"/>
          <w:sz w:val="24"/>
        </w:rPr>
        <w:t>协助备案服务</w:t>
      </w:r>
    </w:p>
    <w:p>
      <w:pPr>
        <w:pStyle w:val="null3"/>
        <w:ind w:firstLine="480"/>
        <w:jc w:val="both"/>
      </w:pPr>
      <w:r>
        <w:rPr>
          <w:rFonts w:ascii="仿宋" w:hAnsi="仿宋" w:cs="仿宋" w:eastAsia="仿宋"/>
          <w:sz w:val="24"/>
        </w:rPr>
        <w:t>根据《信息安全等级保护管理办法》的要求，协助福建省交通运输综合保障中心完成复测的备案工作。</w:t>
      </w:r>
    </w:p>
    <w:p>
      <w:pPr>
        <w:pStyle w:val="null3"/>
        <w:jc w:val="both"/>
      </w:pPr>
      <w:r>
        <w:rPr>
          <w:rFonts w:ascii="仿宋" w:hAnsi="仿宋" w:cs="仿宋" w:eastAsia="仿宋"/>
          <w:sz w:val="24"/>
          <w:b/>
        </w:rPr>
        <w:t>【指标</w:t>
      </w:r>
      <w:r>
        <w:rPr>
          <w:rFonts w:ascii="仿宋" w:hAnsi="仿宋" w:cs="仿宋" w:eastAsia="仿宋"/>
          <w:sz w:val="24"/>
          <w:b/>
        </w:rPr>
        <w:t>14】3.2.2等级保护测评服务</w:t>
      </w:r>
    </w:p>
    <w:p>
      <w:pPr>
        <w:pStyle w:val="null3"/>
        <w:ind w:firstLine="480"/>
        <w:jc w:val="both"/>
      </w:pPr>
      <w:r>
        <w:rPr>
          <w:rFonts w:ascii="仿宋" w:hAnsi="仿宋" w:cs="仿宋" w:eastAsia="仿宋"/>
          <w:sz w:val="24"/>
        </w:rPr>
        <w:t>根据提交的网络安全等级保护测评申请书，对服务范围内的信息系统进行安全等级测评服务，并为被测系统提供测评机构出具的信息系统安全等级测评报告。服务概述如下表：</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926"/>
        <w:gridCol w:w="1427"/>
        <w:gridCol w:w="3477"/>
        <w:gridCol w:w="896"/>
        <w:gridCol w:w="790"/>
        <w:gridCol w:w="790"/>
      </w:tblGrid>
      <w:tr>
        <w:tc>
          <w:tcPr>
            <w:tcW w:type="dxa" w:w="926"/>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 w:hAnsi="仿宋" w:cs="仿宋" w:eastAsia="仿宋"/>
                <w:sz w:val="24"/>
              </w:rPr>
              <w:t>序号</w:t>
            </w:r>
          </w:p>
        </w:tc>
        <w:tc>
          <w:tcPr>
            <w:tcW w:type="dxa" w:w="1427"/>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 w:hAnsi="仿宋" w:cs="仿宋" w:eastAsia="仿宋"/>
                <w:sz w:val="24"/>
              </w:rPr>
              <w:t>服务细项</w:t>
            </w:r>
          </w:p>
        </w:tc>
        <w:tc>
          <w:tcPr>
            <w:tcW w:type="dxa" w:w="3477"/>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 w:hAnsi="仿宋" w:cs="仿宋" w:eastAsia="仿宋"/>
                <w:sz w:val="24"/>
              </w:rPr>
              <w:t>服务内容</w:t>
            </w:r>
          </w:p>
        </w:tc>
        <w:tc>
          <w:tcPr>
            <w:tcW w:type="dxa" w:w="896"/>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 w:hAnsi="仿宋" w:cs="仿宋" w:eastAsia="仿宋"/>
                <w:sz w:val="24"/>
              </w:rPr>
              <w:t>交付成果</w:t>
            </w:r>
          </w:p>
        </w:tc>
        <w:tc>
          <w:tcPr>
            <w:tcW w:type="dxa" w:w="790"/>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 w:hAnsi="仿宋" w:cs="仿宋" w:eastAsia="仿宋"/>
                <w:sz w:val="24"/>
              </w:rPr>
              <w:t>服务频次</w:t>
            </w:r>
          </w:p>
        </w:tc>
        <w:tc>
          <w:tcPr>
            <w:tcW w:type="dxa" w:w="790"/>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 w:hAnsi="仿宋" w:cs="仿宋" w:eastAsia="仿宋"/>
                <w:sz w:val="24"/>
              </w:rPr>
              <w:t>备注</w:t>
            </w:r>
          </w:p>
        </w:tc>
      </w:tr>
      <w:tr>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14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rPr>
              <w:t>技术层面测评服务</w:t>
            </w:r>
          </w:p>
        </w:tc>
        <w:tc>
          <w:tcPr>
            <w:tcW w:type="dxa" w:w="3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从技术层面进行安全测评。</w:t>
            </w:r>
          </w:p>
        </w:tc>
        <w:tc>
          <w:tcPr>
            <w:tcW w:type="dxa" w:w="8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rPr>
              <w:t>测评报告</w:t>
            </w:r>
          </w:p>
        </w:tc>
        <w:tc>
          <w:tcPr>
            <w:tcW w:type="dxa" w:w="7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rPr>
              <w:t>单次</w:t>
            </w:r>
          </w:p>
        </w:tc>
        <w:tc>
          <w:tcPr>
            <w:tcW w:type="dxa" w:w="7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14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rPr>
              <w:t>管理层面测评服务</w:t>
            </w:r>
          </w:p>
        </w:tc>
        <w:tc>
          <w:tcPr>
            <w:tcW w:type="dxa" w:w="3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从管理层面进行安全测评。</w:t>
            </w:r>
          </w:p>
        </w:tc>
        <w:tc>
          <w:tcPr>
            <w:tcW w:type="dxa" w:w="8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rPr>
              <w:t>测评报告</w:t>
            </w:r>
          </w:p>
        </w:tc>
        <w:tc>
          <w:tcPr>
            <w:tcW w:type="dxa" w:w="7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rPr>
              <w:t>单次</w:t>
            </w:r>
          </w:p>
        </w:tc>
        <w:tc>
          <w:tcPr>
            <w:tcW w:type="dxa" w:w="7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bl>
    <w:p>
      <w:pPr>
        <w:pStyle w:val="null3"/>
        <w:jc w:val="both"/>
      </w:pPr>
      <w:r>
        <w:rPr>
          <w:rFonts w:ascii="仿宋" w:hAnsi="仿宋" w:cs="仿宋" w:eastAsia="仿宋"/>
          <w:sz w:val="24"/>
          <w:b/>
        </w:rPr>
        <w:t>【指标</w:t>
      </w:r>
      <w:r>
        <w:rPr>
          <w:rFonts w:ascii="仿宋" w:hAnsi="仿宋" w:cs="仿宋" w:eastAsia="仿宋"/>
          <w:sz w:val="24"/>
          <w:b/>
        </w:rPr>
        <w:t>15】</w:t>
      </w:r>
      <w:r>
        <w:rPr>
          <w:rFonts w:ascii="仿宋" w:hAnsi="仿宋" w:cs="仿宋" w:eastAsia="仿宋"/>
          <w:sz w:val="24"/>
        </w:rPr>
        <w:t>技术层面测评服务</w:t>
      </w:r>
    </w:p>
    <w:p>
      <w:pPr>
        <w:pStyle w:val="null3"/>
        <w:ind w:firstLine="480"/>
        <w:jc w:val="both"/>
      </w:pPr>
      <w:r>
        <w:rPr>
          <w:rFonts w:ascii="仿宋" w:hAnsi="仿宋" w:cs="仿宋" w:eastAsia="仿宋"/>
          <w:sz w:val="24"/>
        </w:rPr>
        <w:t>技术层面测评将根据要求逐项进行测评：</w:t>
      </w:r>
    </w:p>
    <w:p>
      <w:pPr>
        <w:pStyle w:val="null3"/>
        <w:ind w:firstLine="480"/>
        <w:jc w:val="both"/>
      </w:pPr>
      <w:r>
        <w:rPr>
          <w:rFonts w:ascii="仿宋" w:hAnsi="仿宋" w:cs="仿宋" w:eastAsia="仿宋"/>
          <w:sz w:val="24"/>
        </w:rPr>
        <w:t>（</w:t>
      </w:r>
      <w:r>
        <w:rPr>
          <w:rFonts w:ascii="仿宋" w:hAnsi="仿宋" w:cs="仿宋" w:eastAsia="仿宋"/>
          <w:sz w:val="24"/>
        </w:rPr>
        <w:t>1）安全物理环境：物理位置选择、物理访问控制、防盗窃和防破坏、防雷击、防火、防水和防潮、防静电、温湿度控制、电力供应、电磁防护。</w:t>
      </w:r>
    </w:p>
    <w:p>
      <w:pPr>
        <w:pStyle w:val="null3"/>
        <w:ind w:firstLine="480"/>
        <w:jc w:val="both"/>
      </w:pPr>
      <w:r>
        <w:rPr>
          <w:rFonts w:ascii="仿宋" w:hAnsi="仿宋" w:cs="仿宋" w:eastAsia="仿宋"/>
          <w:sz w:val="24"/>
        </w:rPr>
        <w:t>（</w:t>
      </w:r>
      <w:r>
        <w:rPr>
          <w:rFonts w:ascii="仿宋" w:hAnsi="仿宋" w:cs="仿宋" w:eastAsia="仿宋"/>
          <w:sz w:val="24"/>
        </w:rPr>
        <w:t>2）安全通信网络：网络架构、通信传输、可信验证。</w:t>
      </w:r>
    </w:p>
    <w:p>
      <w:pPr>
        <w:pStyle w:val="null3"/>
        <w:ind w:firstLine="480"/>
        <w:jc w:val="both"/>
      </w:pPr>
      <w:r>
        <w:rPr>
          <w:rFonts w:ascii="仿宋" w:hAnsi="仿宋" w:cs="仿宋" w:eastAsia="仿宋"/>
          <w:sz w:val="24"/>
        </w:rPr>
        <w:t>（</w:t>
      </w:r>
      <w:r>
        <w:rPr>
          <w:rFonts w:ascii="仿宋" w:hAnsi="仿宋" w:cs="仿宋" w:eastAsia="仿宋"/>
          <w:sz w:val="24"/>
        </w:rPr>
        <w:t>3）安全区域边界：边界防护、访问控制、入侵防范、恶意代码和垃圾邮件防范、安全审计、可信验证。</w:t>
      </w:r>
    </w:p>
    <w:p>
      <w:pPr>
        <w:pStyle w:val="null3"/>
        <w:ind w:firstLine="480"/>
        <w:jc w:val="both"/>
      </w:pPr>
      <w:r>
        <w:rPr>
          <w:rFonts w:ascii="仿宋" w:hAnsi="仿宋" w:cs="仿宋" w:eastAsia="仿宋"/>
          <w:sz w:val="24"/>
        </w:rPr>
        <w:t>（</w:t>
      </w:r>
      <w:r>
        <w:rPr>
          <w:rFonts w:ascii="仿宋" w:hAnsi="仿宋" w:cs="仿宋" w:eastAsia="仿宋"/>
          <w:sz w:val="24"/>
        </w:rPr>
        <w:t>4）安全计算环境：身份鉴别、访问控制、安全审计、入侵防范、恶意代码防范、可信验证、数据完整性、数据保密性、数据备份恢复、剩余信息保护、个人信息保护。</w:t>
      </w:r>
    </w:p>
    <w:p>
      <w:pPr>
        <w:pStyle w:val="null3"/>
        <w:ind w:firstLine="480"/>
        <w:jc w:val="both"/>
      </w:pPr>
      <w:r>
        <w:rPr>
          <w:rFonts w:ascii="仿宋" w:hAnsi="仿宋" w:cs="仿宋" w:eastAsia="仿宋"/>
          <w:sz w:val="24"/>
        </w:rPr>
        <w:t>（</w:t>
      </w:r>
      <w:r>
        <w:rPr>
          <w:rFonts w:ascii="仿宋" w:hAnsi="仿宋" w:cs="仿宋" w:eastAsia="仿宋"/>
          <w:sz w:val="24"/>
        </w:rPr>
        <w:t>5）安全管理中心：系统管理、审计管理、安全管理、集中管控。</w:t>
      </w:r>
    </w:p>
    <w:p>
      <w:pPr>
        <w:pStyle w:val="null3"/>
        <w:jc w:val="both"/>
      </w:pPr>
      <w:r>
        <w:rPr>
          <w:rFonts w:ascii="仿宋" w:hAnsi="仿宋" w:cs="仿宋" w:eastAsia="仿宋"/>
          <w:sz w:val="24"/>
          <w:b/>
        </w:rPr>
        <w:t>【指标</w:t>
      </w:r>
      <w:r>
        <w:rPr>
          <w:rFonts w:ascii="仿宋" w:hAnsi="仿宋" w:cs="仿宋" w:eastAsia="仿宋"/>
          <w:sz w:val="24"/>
          <w:b/>
        </w:rPr>
        <w:t>16】</w:t>
      </w:r>
      <w:r>
        <w:rPr>
          <w:rFonts w:ascii="仿宋" w:hAnsi="仿宋" w:cs="仿宋" w:eastAsia="仿宋"/>
          <w:sz w:val="24"/>
        </w:rPr>
        <w:t>管理层面测评服务</w:t>
      </w:r>
    </w:p>
    <w:p>
      <w:pPr>
        <w:pStyle w:val="null3"/>
        <w:ind w:firstLine="480"/>
        <w:jc w:val="both"/>
      </w:pPr>
      <w:r>
        <w:rPr>
          <w:rFonts w:ascii="仿宋" w:hAnsi="仿宋" w:cs="仿宋" w:eastAsia="仿宋"/>
          <w:sz w:val="24"/>
        </w:rPr>
        <w:t>管理层面测评将根据要求逐项进行测评：</w:t>
      </w:r>
    </w:p>
    <w:p>
      <w:pPr>
        <w:pStyle w:val="null3"/>
        <w:ind w:firstLine="480"/>
        <w:jc w:val="both"/>
      </w:pPr>
      <w:r>
        <w:rPr>
          <w:rFonts w:ascii="仿宋" w:hAnsi="仿宋" w:cs="仿宋" w:eastAsia="仿宋"/>
          <w:sz w:val="24"/>
        </w:rPr>
        <w:t>（</w:t>
      </w:r>
      <w:r>
        <w:rPr>
          <w:rFonts w:ascii="仿宋" w:hAnsi="仿宋" w:cs="仿宋" w:eastAsia="仿宋"/>
          <w:sz w:val="24"/>
        </w:rPr>
        <w:t>1）安全管理制度：安全策略、管理制度、制定与发布、评审与修订。</w:t>
      </w:r>
    </w:p>
    <w:p>
      <w:pPr>
        <w:pStyle w:val="null3"/>
        <w:ind w:firstLine="480"/>
        <w:jc w:val="both"/>
      </w:pPr>
      <w:r>
        <w:rPr>
          <w:rFonts w:ascii="仿宋" w:hAnsi="仿宋" w:cs="仿宋" w:eastAsia="仿宋"/>
          <w:sz w:val="24"/>
        </w:rPr>
        <w:t>（</w:t>
      </w:r>
      <w:r>
        <w:rPr>
          <w:rFonts w:ascii="仿宋" w:hAnsi="仿宋" w:cs="仿宋" w:eastAsia="仿宋"/>
          <w:sz w:val="24"/>
        </w:rPr>
        <w:t>2）安全管理机构：岗位设置、人员配备、授权和审批、沟通与合作、审核和检查。</w:t>
      </w:r>
    </w:p>
    <w:p>
      <w:pPr>
        <w:pStyle w:val="null3"/>
        <w:ind w:firstLine="480"/>
        <w:jc w:val="both"/>
      </w:pPr>
      <w:r>
        <w:rPr>
          <w:rFonts w:ascii="仿宋" w:hAnsi="仿宋" w:cs="仿宋" w:eastAsia="仿宋"/>
          <w:sz w:val="24"/>
        </w:rPr>
        <w:t>（</w:t>
      </w:r>
      <w:r>
        <w:rPr>
          <w:rFonts w:ascii="仿宋" w:hAnsi="仿宋" w:cs="仿宋" w:eastAsia="仿宋"/>
          <w:sz w:val="24"/>
        </w:rPr>
        <w:t>3）安全管理人员：人员录用、人员离岗、安全意识教育和培训、外部人员访问管理。</w:t>
      </w:r>
    </w:p>
    <w:p>
      <w:pPr>
        <w:pStyle w:val="null3"/>
        <w:ind w:firstLine="480"/>
        <w:jc w:val="both"/>
      </w:pPr>
      <w:r>
        <w:rPr>
          <w:rFonts w:ascii="仿宋" w:hAnsi="仿宋" w:cs="仿宋" w:eastAsia="仿宋"/>
          <w:sz w:val="24"/>
        </w:rPr>
        <w:t>（</w:t>
      </w:r>
      <w:r>
        <w:rPr>
          <w:rFonts w:ascii="仿宋" w:hAnsi="仿宋" w:cs="仿宋" w:eastAsia="仿宋"/>
          <w:sz w:val="24"/>
        </w:rPr>
        <w:t>4）安全建设管理：定级和备案、安全方案设计、产品采购和使用、自行软件开发、外包软件开发、工程实施、测试验收、系统交付、等级测评、服务供应商管理。</w:t>
      </w:r>
    </w:p>
    <w:p>
      <w:pPr>
        <w:pStyle w:val="null3"/>
        <w:ind w:firstLine="480"/>
        <w:jc w:val="both"/>
      </w:pPr>
      <w:r>
        <w:rPr>
          <w:rFonts w:ascii="仿宋" w:hAnsi="仿宋" w:cs="仿宋" w:eastAsia="仿宋"/>
          <w:sz w:val="24"/>
        </w:rPr>
        <w:t>（</w:t>
      </w:r>
      <w:r>
        <w:rPr>
          <w:rFonts w:ascii="仿宋" w:hAnsi="仿宋" w:cs="仿宋" w:eastAsia="仿宋"/>
          <w:sz w:val="24"/>
        </w:rPr>
        <w:t>5）安全运维管理：环境管理、资产管理、介质管理、设备维护管理、漏洞和风险管理、网络和系统安全管理、恶意代码防范管理、配置管理、密码管理、变更管理、备份与恢复管理、安全事件处置、应急预案管理、外包运维管理。</w:t>
      </w:r>
    </w:p>
    <w:p>
      <w:pPr>
        <w:pStyle w:val="null3"/>
        <w:ind w:firstLine="480"/>
        <w:jc w:val="both"/>
      </w:pPr>
      <w:r>
        <w:rPr>
          <w:rFonts w:ascii="仿宋" w:hAnsi="仿宋" w:cs="仿宋" w:eastAsia="仿宋"/>
          <w:sz w:val="24"/>
        </w:rPr>
        <w:t>并最终提供符合当地网安要求的测评报告</w:t>
      </w:r>
      <w:r>
        <w:rPr>
          <w:rFonts w:ascii="仿宋" w:hAnsi="仿宋" w:cs="仿宋" w:eastAsia="仿宋"/>
          <w:sz w:val="24"/>
        </w:rPr>
        <w:t>/4套。</w:t>
      </w:r>
    </w:p>
    <w:p>
      <w:pPr>
        <w:pStyle w:val="null3"/>
        <w:jc w:val="both"/>
      </w:pPr>
      <w:r>
        <w:rPr>
          <w:rFonts w:ascii="仿宋" w:hAnsi="仿宋" w:cs="仿宋" w:eastAsia="仿宋"/>
          <w:sz w:val="24"/>
          <w:b/>
        </w:rPr>
        <w:t>【指标</w:t>
      </w:r>
      <w:r>
        <w:rPr>
          <w:rFonts w:ascii="仿宋" w:hAnsi="仿宋" w:cs="仿宋" w:eastAsia="仿宋"/>
          <w:sz w:val="24"/>
          <w:b/>
        </w:rPr>
        <w:t>17】3.2.3暴露资产自查服务</w:t>
      </w:r>
    </w:p>
    <w:p>
      <w:pPr>
        <w:pStyle w:val="null3"/>
        <w:ind w:right="45" w:firstLine="480"/>
        <w:jc w:val="left"/>
      </w:pPr>
      <w:r>
        <w:rPr>
          <w:rFonts w:ascii="仿宋" w:hAnsi="仿宋" w:cs="仿宋" w:eastAsia="仿宋"/>
          <w:sz w:val="24"/>
        </w:rPr>
        <w:t>梳理暴露在互联网上的资产信息（例如：威胁情报能力</w:t>
      </w:r>
      <w:r>
        <w:rPr>
          <w:rFonts w:ascii="仿宋" w:hAnsi="仿宋" w:cs="仿宋" w:eastAsia="仿宋"/>
          <w:sz w:val="24"/>
        </w:rPr>
        <w:t>+人工服务），输出互联网暴露端口列表和漏洞情况，提供安全整改建议报告、督促完成安全整改。</w:t>
      </w:r>
    </w:p>
    <w:p>
      <w:pPr>
        <w:pStyle w:val="null3"/>
        <w:ind w:firstLine="480"/>
        <w:jc w:val="center"/>
      </w:pPr>
      <w:r>
        <w:rPr>
          <w:rFonts w:ascii="仿宋" w:hAnsi="仿宋" w:cs="仿宋" w:eastAsia="仿宋"/>
          <w:sz w:val="24"/>
        </w:rPr>
        <w:t>表格样式示例</w:t>
      </w:r>
    </w:p>
    <w:p>
      <w:pPr>
        <w:pStyle w:val="null3"/>
        <w:ind w:firstLine="480"/>
        <w:jc w:val="center"/>
      </w:pPr>
      <w:r>
        <w:drawing>
          <wp:inline distT="0" distR="0" distB="0" distL="0">
            <wp:extent cx="4933950" cy="72390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5"/>
                    <a:stretch>
                      <a:fillRect/>
                    </a:stretch>
                  </pic:blipFill>
                  <pic:spPr>
                    <a:xfrm>
                      <a:off x="0" y="0"/>
                      <a:ext cx="4933950" cy="723900"/>
                    </a:xfrm>
                    <a:prstGeom prst="rect">
                      <a:avLst/>
                    </a:prstGeom>
                  </pic:spPr>
                </pic:pic>
              </a:graphicData>
            </a:graphic>
          </wp:inline>
        </w:drawing>
      </w:r>
    </w:p>
    <w:p>
      <w:pPr>
        <w:pStyle w:val="null3"/>
        <w:ind w:firstLine="480"/>
        <w:jc w:val="center"/>
      </w:pPr>
      <w:r>
        <w:drawing>
          <wp:inline distT="0" distR="0" distB="0" distL="0">
            <wp:extent cx="4391025" cy="3733800"/>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6"/>
                    <a:stretch>
                      <a:fillRect/>
                    </a:stretch>
                  </pic:blipFill>
                  <pic:spPr>
                    <a:xfrm>
                      <a:off x="0" y="0"/>
                      <a:ext cx="4391025" cy="3733800"/>
                    </a:xfrm>
                    <a:prstGeom prst="rect">
                      <a:avLst/>
                    </a:prstGeom>
                  </pic:spPr>
                </pic:pic>
              </a:graphicData>
            </a:graphic>
          </wp:inline>
        </w:drawing>
      </w:r>
    </w:p>
    <w:p>
      <w:pPr>
        <w:pStyle w:val="null3"/>
        <w:ind w:firstLine="482"/>
        <w:jc w:val="both"/>
      </w:pPr>
      <w:r>
        <w:rPr>
          <w:rFonts w:ascii="仿宋" w:hAnsi="仿宋" w:cs="仿宋" w:eastAsia="仿宋"/>
          <w:sz w:val="24"/>
          <w:b/>
        </w:rPr>
        <w:t>【指标</w:t>
      </w:r>
      <w:r>
        <w:rPr>
          <w:rFonts w:ascii="仿宋" w:hAnsi="仿宋" w:cs="仿宋" w:eastAsia="仿宋"/>
          <w:sz w:val="24"/>
          <w:b/>
        </w:rPr>
        <w:t>18】3.2.4渗透测试服务</w:t>
      </w:r>
    </w:p>
    <w:p>
      <w:pPr>
        <w:pStyle w:val="null3"/>
        <w:ind w:right="45" w:firstLine="480"/>
        <w:jc w:val="left"/>
      </w:pPr>
      <w:r>
        <w:rPr>
          <w:rFonts w:ascii="仿宋" w:hAnsi="仿宋" w:cs="仿宋" w:eastAsia="仿宋"/>
          <w:sz w:val="24"/>
        </w:rPr>
        <w:t>从安全攻击链视角对互联网应用系统开展全方位的安全渗透测试工作，以全面发现应用系统安全问题与隐患，且同时通过渗透测试验证相关应用系统的安全防护能力有效性。</w:t>
      </w:r>
    </w:p>
    <w:p>
      <w:pPr>
        <w:pStyle w:val="null3"/>
        <w:ind w:right="45" w:firstLine="480"/>
        <w:jc w:val="left"/>
      </w:pPr>
      <w:r>
        <w:rPr>
          <w:rFonts w:ascii="仿宋" w:hAnsi="仿宋" w:cs="仿宋" w:eastAsia="仿宋"/>
          <w:sz w:val="24"/>
        </w:rPr>
        <w:t>1）信息收集。通过搜索引擎侦测、专业化工具检测结合人工分析，对业务应用系统、中间件、操作系统等类型指纹收集分析、端口扫描和目标系统提供的服务识别等，确定信息资产互联网暴露面。</w:t>
      </w:r>
    </w:p>
    <w:p>
      <w:pPr>
        <w:pStyle w:val="null3"/>
        <w:ind w:right="45" w:firstLine="480"/>
        <w:jc w:val="left"/>
      </w:pPr>
      <w:r>
        <w:rPr>
          <w:rFonts w:ascii="仿宋" w:hAnsi="仿宋" w:cs="仿宋" w:eastAsia="仿宋"/>
          <w:sz w:val="24"/>
        </w:rPr>
        <w:t>2）配置管理测试。开展业务系统配置管理方面安全测试，主要内容包括敏感目录遍历、 Robots方式的敏感接口查找、 Web服务器的控制台、文件备份测试、 HTTP开启方法测试、 SSL心脏出血测试等方面测试。</w:t>
      </w:r>
    </w:p>
    <w:p>
      <w:pPr>
        <w:pStyle w:val="null3"/>
        <w:ind w:right="45" w:firstLine="480"/>
        <w:jc w:val="left"/>
      </w:pPr>
      <w:r>
        <w:rPr>
          <w:rFonts w:ascii="仿宋" w:hAnsi="仿宋" w:cs="仿宋" w:eastAsia="仿宋"/>
          <w:sz w:val="24"/>
        </w:rPr>
        <w:t>3）认证测试。开展业务系统认证方面安全测试，主要内容包括登录验证码、认证错误提示、锁定策略、认证绕过、找回密码、修改密码、安全的数据传输、强口令策略、手机验证码、撞库、接口滥用等方面测试。</w:t>
      </w:r>
    </w:p>
    <w:p>
      <w:pPr>
        <w:pStyle w:val="null3"/>
        <w:ind w:right="45" w:firstLine="480"/>
        <w:jc w:val="left"/>
      </w:pPr>
      <w:r>
        <w:rPr>
          <w:rFonts w:ascii="仿宋" w:hAnsi="仿宋" w:cs="仿宋" w:eastAsia="仿宋"/>
          <w:sz w:val="24"/>
        </w:rPr>
        <w:t>4）会话管理测试。展业务系统会话管理方面安全测试，主要内容包括会话变量泄露、 Cookie属性测试、 Cookie存储方式测试、用户注销登陆的方式、注销时会话信息测试、会话超时时间测试、会话固定测试等方面测试。</w:t>
      </w:r>
    </w:p>
    <w:p>
      <w:pPr>
        <w:pStyle w:val="null3"/>
        <w:ind w:right="45" w:firstLine="480"/>
        <w:jc w:val="left"/>
      </w:pPr>
      <w:r>
        <w:rPr>
          <w:rFonts w:ascii="仿宋" w:hAnsi="仿宋" w:cs="仿宋" w:eastAsia="仿宋"/>
          <w:sz w:val="24"/>
        </w:rPr>
        <w:t>5）授权测试。开展业务系统授权方面安全测试，主要内容包括绕过授权模式测试、横向提权测试、纵向越权测试、后台页面未授权访问测试、中间件未授权访问测试等方面测试。</w:t>
      </w:r>
    </w:p>
    <w:p>
      <w:pPr>
        <w:pStyle w:val="null3"/>
        <w:ind w:right="45" w:firstLine="480"/>
        <w:jc w:val="left"/>
      </w:pPr>
      <w:r>
        <w:rPr>
          <w:rFonts w:ascii="仿宋" w:hAnsi="仿宋" w:cs="仿宋" w:eastAsia="仿宋"/>
          <w:sz w:val="24"/>
        </w:rPr>
        <w:t>6）文件上传下载测试。开展业务系统文件上传下载方面安全测试，主要内容包括 HTTP PUT/MOVE上传文件测试、页面上传测试、文件下载测试等方面测试。</w:t>
      </w:r>
    </w:p>
    <w:p>
      <w:pPr>
        <w:pStyle w:val="null3"/>
        <w:ind w:right="45" w:firstLine="480"/>
        <w:jc w:val="left"/>
      </w:pPr>
      <w:r>
        <w:rPr>
          <w:rFonts w:ascii="仿宋" w:hAnsi="仿宋" w:cs="仿宋" w:eastAsia="仿宋"/>
          <w:sz w:val="24"/>
        </w:rPr>
        <w:t>7）信息泄露测试。开展业务系统信息泄露方面安全测试，主要内容包括连接数据库的帐号密码加密测试、客户端源代码敏感信息测试、客户端源代码注释测试、不安全的存储、注册手机号批量获取、 Json敏感信息测试等方面测试。</w:t>
      </w:r>
    </w:p>
    <w:p>
      <w:pPr>
        <w:pStyle w:val="null3"/>
        <w:ind w:right="45" w:firstLine="480"/>
        <w:jc w:val="left"/>
      </w:pPr>
      <w:r>
        <w:rPr>
          <w:rFonts w:ascii="仿宋" w:hAnsi="仿宋" w:cs="仿宋" w:eastAsia="仿宋"/>
          <w:sz w:val="24"/>
        </w:rPr>
        <w:t>8）数据验证测试。开展业务系统数据验证方面安全测试，主要内容包括跨站脚本类测试、SQL注入类测试、命令执行测试、 SSRF漏洞测试、 XXE漏洞测试等方面测试。</w:t>
      </w:r>
    </w:p>
    <w:p>
      <w:pPr>
        <w:pStyle w:val="null3"/>
        <w:ind w:right="45" w:firstLine="480"/>
        <w:jc w:val="left"/>
      </w:pPr>
      <w:r>
        <w:rPr>
          <w:rFonts w:ascii="仿宋" w:hAnsi="仿宋" w:cs="仿宋" w:eastAsia="仿宋"/>
          <w:sz w:val="24"/>
        </w:rPr>
        <w:t>9）框架安全测试。开展业务系统框架安全方面安全测试，主要内容包括业务系统所用框架及其中间件相关类型专项漏洞测试。</w:t>
      </w:r>
    </w:p>
    <w:p>
      <w:pPr>
        <w:pStyle w:val="null3"/>
        <w:ind w:right="45" w:firstLine="480"/>
        <w:jc w:val="left"/>
      </w:pPr>
      <w:r>
        <w:rPr>
          <w:rFonts w:ascii="仿宋" w:hAnsi="仿宋" w:cs="仿宋" w:eastAsia="仿宋"/>
          <w:sz w:val="24"/>
        </w:rPr>
        <w:t>10）业务逻辑测试。针对业务逻辑方面开展安全测试工作，如对用户行为顺序处理不当、业务处理流程逻辑不当等问题。</w:t>
      </w:r>
    </w:p>
    <w:p>
      <w:pPr>
        <w:pStyle w:val="null3"/>
        <w:ind w:firstLine="482"/>
        <w:jc w:val="both"/>
      </w:pPr>
      <w:r>
        <w:rPr>
          <w:rFonts w:ascii="仿宋" w:hAnsi="仿宋" w:cs="仿宋" w:eastAsia="仿宋"/>
          <w:sz w:val="24"/>
          <w:b/>
        </w:rPr>
        <w:t>【指标</w:t>
      </w:r>
      <w:r>
        <w:rPr>
          <w:rFonts w:ascii="仿宋" w:hAnsi="仿宋" w:cs="仿宋" w:eastAsia="仿宋"/>
          <w:sz w:val="24"/>
          <w:b/>
        </w:rPr>
        <w:t>19】3.2.5网站安全监控服务</w:t>
      </w:r>
    </w:p>
    <w:p>
      <w:pPr>
        <w:pStyle w:val="null3"/>
        <w:ind w:right="45" w:firstLine="480"/>
        <w:jc w:val="left"/>
      </w:pPr>
      <w:r>
        <w:rPr>
          <w:rFonts w:ascii="仿宋" w:hAnsi="仿宋" w:cs="仿宋" w:eastAsia="仿宋"/>
          <w:sz w:val="24"/>
        </w:rPr>
        <w:t>1通过专业的网站安全监控平台对中心对外应用系统网站进行以下服务：网站可用性监控、域名劫持监控服务、网页挂马监控服务、网站暗链监控服务、敏感内容监控服务、漏洞扫描、漏洞舆情、网站监控人工告警服务等安全服务。</w:t>
      </w:r>
    </w:p>
    <w:p>
      <w:pPr>
        <w:pStyle w:val="null3"/>
        <w:ind w:right="45" w:firstLine="480"/>
        <w:jc w:val="left"/>
      </w:pPr>
      <w:r>
        <w:rPr>
          <w:rFonts w:ascii="仿宋" w:hAnsi="仿宋" w:cs="仿宋" w:eastAsia="仿宋"/>
          <w:sz w:val="24"/>
        </w:rPr>
        <w:t>1）网站可用性监控服务</w:t>
      </w:r>
    </w:p>
    <w:p>
      <w:pPr>
        <w:pStyle w:val="null3"/>
        <w:ind w:right="45" w:firstLine="480"/>
        <w:jc w:val="left"/>
      </w:pPr>
      <w:r>
        <w:rPr>
          <w:rFonts w:ascii="仿宋" w:hAnsi="仿宋" w:cs="仿宋" w:eastAsia="仿宋"/>
          <w:sz w:val="24"/>
        </w:rPr>
        <w:t>全年每隔</w:t>
      </w:r>
      <w:r>
        <w:rPr>
          <w:rFonts w:ascii="仿宋" w:hAnsi="仿宋" w:cs="仿宋" w:eastAsia="仿宋"/>
          <w:sz w:val="24"/>
        </w:rPr>
        <w:t>5分钟一次对网站首页进行轮询探测，网站访问不到则通过邮件或短信等方式进行告警，确保网站的可用性、安全性实时掌控。</w:t>
      </w:r>
    </w:p>
    <w:p>
      <w:pPr>
        <w:pStyle w:val="null3"/>
        <w:ind w:right="45" w:firstLine="480"/>
        <w:jc w:val="left"/>
      </w:pPr>
      <w:r>
        <w:rPr>
          <w:rFonts w:ascii="仿宋" w:hAnsi="仿宋" w:cs="仿宋" w:eastAsia="仿宋"/>
          <w:sz w:val="24"/>
        </w:rPr>
        <w:t>可提供如下功能</w:t>
      </w:r>
      <w:r>
        <w:rPr>
          <w:rFonts w:ascii="仿宋" w:hAnsi="仿宋" w:cs="仿宋" w:eastAsia="仿宋"/>
          <w:sz w:val="24"/>
        </w:rPr>
        <w:t>:</w:t>
      </w:r>
    </w:p>
    <w:p>
      <w:pPr>
        <w:pStyle w:val="null3"/>
        <w:ind w:right="45" w:firstLine="480"/>
        <w:jc w:val="left"/>
      </w:pPr>
      <w:r>
        <w:rPr>
          <w:rFonts w:ascii="仿宋" w:hAnsi="仿宋" w:cs="仿宋" w:eastAsia="仿宋"/>
          <w:sz w:val="24"/>
        </w:rPr>
        <w:t>实时告警功能，满足用户对于告警分级、事件响应与处理、分析需求；</w:t>
      </w:r>
    </w:p>
    <w:p>
      <w:pPr>
        <w:pStyle w:val="null3"/>
        <w:ind w:right="45" w:firstLine="480"/>
        <w:jc w:val="left"/>
      </w:pPr>
      <w:r>
        <w:rPr>
          <w:rFonts w:ascii="仿宋" w:hAnsi="仿宋" w:cs="仿宋" w:eastAsia="仿宋"/>
          <w:sz w:val="24"/>
        </w:rPr>
        <w:t>实时查看最新告警监控项目，快速定位故障异常，及时掌握恢复信息；</w:t>
      </w:r>
    </w:p>
    <w:p>
      <w:pPr>
        <w:pStyle w:val="null3"/>
        <w:ind w:right="45" w:firstLine="480"/>
        <w:jc w:val="left"/>
      </w:pPr>
      <w:r>
        <w:rPr>
          <w:rFonts w:ascii="仿宋" w:hAnsi="仿宋" w:cs="仿宋" w:eastAsia="仿宋"/>
          <w:sz w:val="24"/>
        </w:rPr>
        <w:t>可设置从</w:t>
      </w:r>
      <w:r>
        <w:rPr>
          <w:rFonts w:ascii="仿宋" w:hAnsi="仿宋" w:cs="仿宋" w:eastAsia="仿宋"/>
          <w:sz w:val="24"/>
        </w:rPr>
        <w:t>2分钟到60分钟等不同网站监控频率；</w:t>
      </w:r>
    </w:p>
    <w:p>
      <w:pPr>
        <w:pStyle w:val="null3"/>
        <w:ind w:right="45" w:firstLine="480"/>
        <w:jc w:val="left"/>
      </w:pPr>
      <w:r>
        <w:rPr>
          <w:rFonts w:ascii="仿宋" w:hAnsi="仿宋" w:cs="仿宋" w:eastAsia="仿宋"/>
          <w:sz w:val="24"/>
        </w:rPr>
        <w:t>故障汇总统计、通过快照进行故障分析、告警消息汇总统计；</w:t>
      </w:r>
    </w:p>
    <w:p>
      <w:pPr>
        <w:pStyle w:val="null3"/>
        <w:ind w:right="45" w:firstLine="480"/>
        <w:jc w:val="left"/>
      </w:pPr>
      <w:r>
        <w:rPr>
          <w:rFonts w:ascii="仿宋" w:hAnsi="仿宋" w:cs="仿宋" w:eastAsia="仿宋"/>
          <w:sz w:val="24"/>
        </w:rPr>
        <w:t>允许通过邮件、短信、微信等方式及时接收告警通知。</w:t>
      </w:r>
    </w:p>
    <w:p>
      <w:pPr>
        <w:pStyle w:val="null3"/>
        <w:ind w:right="45" w:firstLine="480"/>
        <w:jc w:val="left"/>
      </w:pPr>
      <w:r>
        <w:rPr>
          <w:rFonts w:ascii="仿宋" w:hAnsi="仿宋" w:cs="仿宋" w:eastAsia="仿宋"/>
          <w:sz w:val="24"/>
        </w:rPr>
        <w:t>2）域名劫持监控服务</w:t>
      </w:r>
    </w:p>
    <w:p>
      <w:pPr>
        <w:pStyle w:val="null3"/>
        <w:ind w:right="45" w:firstLine="480"/>
        <w:jc w:val="left"/>
      </w:pPr>
      <w:r>
        <w:rPr>
          <w:rFonts w:ascii="仿宋" w:hAnsi="仿宋" w:cs="仿宋" w:eastAsia="仿宋"/>
          <w:sz w:val="24"/>
        </w:rPr>
        <w:t>全年每隔</w:t>
      </w:r>
      <w:r>
        <w:rPr>
          <w:rFonts w:ascii="仿宋" w:hAnsi="仿宋" w:cs="仿宋" w:eastAsia="仿宋"/>
          <w:sz w:val="24"/>
        </w:rPr>
        <w:t>5分钟一次对网站首页进行域名劫持探测，一旦发现域名被劫持则通过邮件或短信等方式进行告警。</w:t>
      </w:r>
    </w:p>
    <w:p>
      <w:pPr>
        <w:pStyle w:val="null3"/>
        <w:ind w:right="45" w:firstLine="480"/>
        <w:jc w:val="left"/>
      </w:pPr>
      <w:r>
        <w:rPr>
          <w:rFonts w:ascii="仿宋" w:hAnsi="仿宋" w:cs="仿宋" w:eastAsia="仿宋"/>
          <w:sz w:val="24"/>
        </w:rPr>
        <w:t>3）网页挂马监控服务</w:t>
      </w:r>
    </w:p>
    <w:p>
      <w:pPr>
        <w:pStyle w:val="null3"/>
        <w:ind w:right="45" w:firstLine="480"/>
        <w:jc w:val="left"/>
      </w:pPr>
      <w:r>
        <w:rPr>
          <w:rFonts w:ascii="仿宋" w:hAnsi="仿宋" w:cs="仿宋" w:eastAsia="仿宋"/>
          <w:sz w:val="24"/>
        </w:rPr>
        <w:t>每周一次采用远程监控方式对网站页面进行网页挂马分析，一旦识别到网页挂马行为，则进行邮件或短信进行告警。</w:t>
      </w:r>
    </w:p>
    <w:p>
      <w:pPr>
        <w:pStyle w:val="null3"/>
        <w:ind w:right="45" w:firstLine="480"/>
        <w:jc w:val="left"/>
      </w:pPr>
      <w:r>
        <w:rPr>
          <w:rFonts w:ascii="仿宋" w:hAnsi="仿宋" w:cs="仿宋" w:eastAsia="仿宋"/>
          <w:sz w:val="24"/>
        </w:rPr>
        <w:t>4）网站暗链监控服务</w:t>
      </w:r>
    </w:p>
    <w:p>
      <w:pPr>
        <w:pStyle w:val="null3"/>
        <w:ind w:right="45" w:firstLine="480"/>
        <w:jc w:val="left"/>
      </w:pPr>
      <w:r>
        <w:rPr>
          <w:rFonts w:ascii="仿宋" w:hAnsi="仿宋" w:cs="仿宋" w:eastAsia="仿宋"/>
          <w:sz w:val="24"/>
        </w:rPr>
        <w:t>每周一次采用远程监控方式对网站页面进行暗链分析，一旦识别到网页存在暗链行为，则进行邮件或短信进行告警。</w:t>
      </w:r>
    </w:p>
    <w:p>
      <w:pPr>
        <w:pStyle w:val="null3"/>
        <w:ind w:right="45" w:firstLine="480"/>
        <w:jc w:val="left"/>
      </w:pPr>
      <w:r>
        <w:rPr>
          <w:rFonts w:ascii="仿宋" w:hAnsi="仿宋" w:cs="仿宋" w:eastAsia="仿宋"/>
          <w:sz w:val="24"/>
        </w:rPr>
        <w:t>5）敏感内容监控服务</w:t>
      </w:r>
    </w:p>
    <w:p>
      <w:pPr>
        <w:pStyle w:val="null3"/>
        <w:ind w:right="45" w:firstLine="480"/>
        <w:jc w:val="left"/>
      </w:pPr>
      <w:r>
        <w:rPr>
          <w:rFonts w:ascii="仿宋" w:hAnsi="仿宋" w:cs="仿宋" w:eastAsia="仿宋"/>
          <w:sz w:val="24"/>
        </w:rPr>
        <w:t>对中心门户网站</w:t>
      </w:r>
      <w:r>
        <w:rPr>
          <w:rFonts w:ascii="仿宋" w:hAnsi="仿宋" w:cs="仿宋" w:eastAsia="仿宋"/>
          <w:sz w:val="24"/>
        </w:rPr>
        <w:t>、微讯、视频号等</w:t>
      </w:r>
      <w:r>
        <w:rPr>
          <w:rFonts w:ascii="仿宋" w:hAnsi="仿宋" w:cs="仿宋" w:eastAsia="仿宋"/>
          <w:sz w:val="24"/>
        </w:rPr>
        <w:t>内容每</w:t>
      </w:r>
      <w:r>
        <w:rPr>
          <w:rFonts w:ascii="仿宋" w:hAnsi="仿宋" w:cs="仿宋" w:eastAsia="仿宋"/>
          <w:sz w:val="24"/>
        </w:rPr>
        <w:t>周</w:t>
      </w:r>
      <w:r>
        <w:rPr>
          <w:rFonts w:ascii="仿宋" w:hAnsi="仿宋" w:cs="仿宋" w:eastAsia="仿宋"/>
          <w:sz w:val="24"/>
        </w:rPr>
        <w:t>不少于一次内容监测，包含对网站内的文字、图片、视频内容分析，识别文字错误、负面舆情、不良文字、重要内容表述错误等问题，实时通过手机短信方式通知相关管理人员。</w:t>
      </w:r>
    </w:p>
    <w:p>
      <w:pPr>
        <w:pStyle w:val="null3"/>
        <w:ind w:right="45" w:firstLine="480"/>
        <w:jc w:val="left"/>
      </w:pPr>
      <w:r>
        <w:rPr>
          <w:rFonts w:ascii="仿宋" w:hAnsi="仿宋" w:cs="仿宋" w:eastAsia="仿宋"/>
          <w:sz w:val="24"/>
        </w:rPr>
        <w:t>6）网站监控人工告警服务</w:t>
      </w:r>
    </w:p>
    <w:p>
      <w:pPr>
        <w:pStyle w:val="null3"/>
        <w:ind w:right="45" w:firstLine="480"/>
        <w:jc w:val="left"/>
      </w:pPr>
      <w:r>
        <w:rPr>
          <w:rFonts w:ascii="仿宋" w:hAnsi="仿宋" w:cs="仿宋" w:eastAsia="仿宋"/>
          <w:sz w:val="24"/>
        </w:rPr>
        <w:t>针对网站监控平台发现的问题，监控平台发送告警信息到监控值班人员的手机，由值班人员进行人工验证，确认为安全事件后，进行人工电话告警。</w:t>
      </w:r>
    </w:p>
    <w:p>
      <w:pPr>
        <w:pStyle w:val="null3"/>
        <w:ind w:right="45" w:firstLine="460"/>
        <w:jc w:val="left"/>
      </w:pPr>
      <w:r>
        <w:rPr>
          <w:rFonts w:ascii="仿宋" w:hAnsi="仿宋" w:cs="仿宋" w:eastAsia="仿宋"/>
          <w:sz w:val="24"/>
        </w:rPr>
        <w:t>安全服务提供商定期汇总安全监控情况，并提交详细的监控报告。</w:t>
      </w:r>
    </w:p>
    <w:p>
      <w:pPr>
        <w:pStyle w:val="null3"/>
        <w:ind w:firstLine="482"/>
        <w:jc w:val="both"/>
      </w:pPr>
      <w:r>
        <w:rPr>
          <w:rFonts w:ascii="仿宋" w:hAnsi="仿宋" w:cs="仿宋" w:eastAsia="仿宋"/>
          <w:sz w:val="24"/>
          <w:b/>
        </w:rPr>
        <w:t>【指标</w:t>
      </w:r>
      <w:r>
        <w:rPr>
          <w:rFonts w:ascii="仿宋" w:hAnsi="仿宋" w:cs="仿宋" w:eastAsia="仿宋"/>
          <w:sz w:val="24"/>
          <w:b/>
        </w:rPr>
        <w:t>20】3.2.6安全巡检服务</w:t>
      </w:r>
    </w:p>
    <w:p>
      <w:pPr>
        <w:pStyle w:val="null3"/>
        <w:ind w:right="45" w:firstLine="480"/>
        <w:jc w:val="left"/>
      </w:pPr>
      <w:r>
        <w:rPr>
          <w:rFonts w:ascii="仿宋" w:hAnsi="仿宋" w:cs="仿宋" w:eastAsia="仿宋"/>
          <w:sz w:val="24"/>
        </w:rPr>
        <w:t>定期对信息系统定期检测（工具扫描及安全专家人工检测），及时发现信息系统（网络架构、网络设备、服务器主机、操作系统、数据库和用户账号、口令等安全对象）存在的各种安全隐患，以及系统运行状态，巡检完毕后提供设备巡检报告，提出系统加固建议以及相关的应急措施。</w:t>
      </w:r>
    </w:p>
    <w:p>
      <w:pPr>
        <w:pStyle w:val="null3"/>
        <w:ind w:right="45" w:firstLine="480"/>
        <w:jc w:val="left"/>
      </w:pPr>
      <w:r>
        <w:rPr>
          <w:rFonts w:ascii="仿宋" w:hAnsi="仿宋" w:cs="仿宋" w:eastAsia="仿宋"/>
          <w:sz w:val="24"/>
        </w:rPr>
        <w:t>同时对防火墙、上网行为管理、入侵防御系统等设备进行事件审计和日志分析，检查策略是否有效，配置是否安全，是否有可疑事件发生，必要时进行安全策略的调整。</w:t>
      </w:r>
    </w:p>
    <w:p>
      <w:pPr>
        <w:pStyle w:val="null3"/>
        <w:ind w:right="45" w:firstLine="480"/>
        <w:jc w:val="left"/>
      </w:pPr>
      <w:r>
        <w:rPr>
          <w:rFonts w:ascii="仿宋" w:hAnsi="仿宋" w:cs="仿宋" w:eastAsia="仿宋"/>
          <w:sz w:val="24"/>
        </w:rPr>
        <w:t>1）日志获取：巡检人员在现场获取业务支持系统中的安全设备和监控工具等的相关信息，并统一存储在安全信息库中。</w:t>
      </w:r>
    </w:p>
    <w:p>
      <w:pPr>
        <w:pStyle w:val="null3"/>
        <w:ind w:right="45" w:firstLine="480"/>
        <w:jc w:val="left"/>
      </w:pPr>
      <w:r>
        <w:rPr>
          <w:rFonts w:ascii="仿宋" w:hAnsi="仿宋" w:cs="仿宋" w:eastAsia="仿宋"/>
          <w:sz w:val="24"/>
        </w:rPr>
        <w:t>2）事件确认：监控工具或安全设备报告的事件中有些是误报有些是有威胁的攻击，需要考虑网络环境、安全防护措施、操作系统、系统补丁、应用情况等情况。这样经过巡检人员及时分析确认的事件才有实际意义，可以用来触发事件响应，包括应急支持等。</w:t>
      </w:r>
    </w:p>
    <w:p>
      <w:pPr>
        <w:pStyle w:val="null3"/>
        <w:ind w:right="45" w:firstLine="480"/>
        <w:jc w:val="left"/>
      </w:pPr>
      <w:r>
        <w:rPr>
          <w:rFonts w:ascii="仿宋" w:hAnsi="仿宋" w:cs="仿宋" w:eastAsia="仿宋"/>
          <w:sz w:val="24"/>
        </w:rPr>
        <w:t>3）专家分析：信息安全专家对数据挖掘专家的日志做进一步的分析，从中发现可疑的行为和事件，并判断这种行为对系统可能造成的影响以及影响的程度；分析可疑的节点行为，评估其对整个业务支持系统造成的影响，并建立特殊的黑名单机制，对其做进一步监控；对需要响应的疑点、病毒事件或安全事件及时通告给的紧急事件响应小组。</w:t>
      </w:r>
    </w:p>
    <w:p>
      <w:pPr>
        <w:pStyle w:val="null3"/>
        <w:ind w:right="45" w:firstLine="480"/>
        <w:jc w:val="left"/>
      </w:pPr>
      <w:r>
        <w:rPr>
          <w:rFonts w:ascii="仿宋" w:hAnsi="仿宋" w:cs="仿宋" w:eastAsia="仿宋"/>
          <w:sz w:val="24"/>
        </w:rPr>
        <w:t>4）提供安全巡检报告，深刻了解自身业务支持系统安全状况，</w:t>
      </w:r>
    </w:p>
    <w:p>
      <w:pPr>
        <w:pStyle w:val="null3"/>
        <w:ind w:firstLine="482"/>
        <w:jc w:val="both"/>
      </w:pPr>
      <w:r>
        <w:rPr>
          <w:rFonts w:ascii="仿宋" w:hAnsi="仿宋" w:cs="仿宋" w:eastAsia="仿宋"/>
          <w:sz w:val="24"/>
          <w:b/>
        </w:rPr>
        <w:t>【指标</w:t>
      </w:r>
      <w:r>
        <w:rPr>
          <w:rFonts w:ascii="仿宋" w:hAnsi="仿宋" w:cs="仿宋" w:eastAsia="仿宋"/>
          <w:sz w:val="24"/>
          <w:b/>
        </w:rPr>
        <w:t>21】3.2.7安全检测服务</w:t>
      </w:r>
    </w:p>
    <w:p>
      <w:pPr>
        <w:pStyle w:val="null3"/>
        <w:ind w:right="45" w:firstLine="480"/>
        <w:jc w:val="left"/>
      </w:pPr>
      <w:r>
        <w:rPr>
          <w:rFonts w:ascii="仿宋" w:hAnsi="仿宋" w:cs="仿宋" w:eastAsia="仿宋"/>
          <w:sz w:val="24"/>
        </w:rPr>
        <w:t>定期对服务对象的服务器等进行一次全面的系统漏洞扫描，清晰定性安全风险，给出修复建议和预防措施，并进行跟踪处理；</w:t>
      </w:r>
    </w:p>
    <w:p>
      <w:pPr>
        <w:pStyle w:val="null3"/>
        <w:ind w:right="45" w:firstLine="480"/>
        <w:jc w:val="left"/>
      </w:pPr>
      <w:r>
        <w:rPr>
          <w:rFonts w:ascii="仿宋" w:hAnsi="仿宋" w:cs="仿宋" w:eastAsia="仿宋"/>
          <w:sz w:val="24"/>
        </w:rPr>
        <w:t>1）漏洞扫描，采用扫描工具结合人工验证对本项目的信息系统进行脆弱性扫描，获得系统、设备等漏洞对应及分布情况，并提供可操作的安全建议，协助进行安全加固。</w:t>
      </w:r>
    </w:p>
    <w:p>
      <w:pPr>
        <w:pStyle w:val="null3"/>
        <w:ind w:right="45" w:firstLine="480"/>
        <w:jc w:val="left"/>
      </w:pPr>
      <w:r>
        <w:rPr>
          <w:rFonts w:ascii="仿宋" w:hAnsi="仿宋" w:cs="仿宋" w:eastAsia="仿宋"/>
          <w:sz w:val="24"/>
        </w:rPr>
        <w:t>2）系统开放端口检查</w:t>
      </w:r>
    </w:p>
    <w:p>
      <w:pPr>
        <w:pStyle w:val="null3"/>
        <w:ind w:right="45" w:firstLine="480"/>
        <w:jc w:val="left"/>
      </w:pPr>
      <w:r>
        <w:rPr>
          <w:rFonts w:ascii="仿宋" w:hAnsi="仿宋" w:cs="仿宋" w:eastAsia="仿宋"/>
          <w:sz w:val="24"/>
        </w:rPr>
        <w:t>通过实施端口扫描掌握了目标主机开放了哪些服务，运行何种操作系统，根据端口扫描结果，结合业务特点，提出关闭相关非必要服务的建议。</w:t>
      </w:r>
    </w:p>
    <w:p>
      <w:pPr>
        <w:pStyle w:val="null3"/>
        <w:ind w:right="45" w:firstLine="480"/>
        <w:jc w:val="left"/>
      </w:pPr>
      <w:r>
        <w:rPr>
          <w:rFonts w:ascii="仿宋" w:hAnsi="仿宋" w:cs="仿宋" w:eastAsia="仿宋"/>
          <w:sz w:val="24"/>
        </w:rPr>
        <w:t>3）弱密码检查</w:t>
      </w:r>
    </w:p>
    <w:p>
      <w:pPr>
        <w:pStyle w:val="null3"/>
        <w:ind w:right="45" w:firstLine="480"/>
        <w:jc w:val="left"/>
      </w:pPr>
      <w:r>
        <w:rPr>
          <w:rFonts w:ascii="仿宋" w:hAnsi="仿宋" w:cs="仿宋" w:eastAsia="仿宋"/>
          <w:sz w:val="24"/>
        </w:rPr>
        <w:t>弱密码检查是指使用安全扫描产品</w:t>
      </w:r>
      <w:r>
        <w:rPr>
          <w:rFonts w:ascii="仿宋" w:hAnsi="仿宋" w:cs="仿宋" w:eastAsia="仿宋"/>
          <w:sz w:val="24"/>
        </w:rPr>
        <w:t>/工具对附件授权的信息系统进行弱口令扫描，获得设备---弱口令对应及分布情况，并提供可操作的安全建议或临时解决办法。</w:t>
      </w:r>
    </w:p>
    <w:p>
      <w:pPr>
        <w:pStyle w:val="null3"/>
        <w:ind w:right="45" w:firstLine="480"/>
        <w:jc w:val="left"/>
      </w:pPr>
      <w:r>
        <w:rPr>
          <w:rFonts w:ascii="仿宋" w:hAnsi="仿宋" w:cs="仿宋" w:eastAsia="仿宋"/>
          <w:sz w:val="24"/>
        </w:rPr>
        <w:t>弱密码扫描主要包括如下几个方面：</w:t>
      </w:r>
    </w:p>
    <w:p>
      <w:pPr>
        <w:pStyle w:val="null3"/>
        <w:ind w:right="45" w:firstLine="480"/>
        <w:jc w:val="left"/>
      </w:pPr>
      <w:r>
        <w:rPr>
          <w:rFonts w:ascii="仿宋" w:hAnsi="仿宋" w:cs="仿宋" w:eastAsia="仿宋"/>
          <w:sz w:val="24"/>
        </w:rPr>
        <w:t>服务器主机系统弱口令检查；</w:t>
      </w:r>
    </w:p>
    <w:p>
      <w:pPr>
        <w:pStyle w:val="null3"/>
        <w:ind w:right="45" w:firstLine="480"/>
        <w:jc w:val="left"/>
      </w:pPr>
      <w:r>
        <w:rPr>
          <w:rFonts w:ascii="仿宋" w:hAnsi="仿宋" w:cs="仿宋" w:eastAsia="仿宋"/>
          <w:sz w:val="24"/>
        </w:rPr>
        <w:t>数据库系统弱口令检查；</w:t>
      </w:r>
    </w:p>
    <w:p>
      <w:pPr>
        <w:pStyle w:val="null3"/>
        <w:ind w:right="45" w:firstLine="480"/>
        <w:jc w:val="left"/>
      </w:pPr>
      <w:r>
        <w:rPr>
          <w:rFonts w:ascii="仿宋" w:hAnsi="仿宋" w:cs="仿宋" w:eastAsia="仿宋"/>
          <w:sz w:val="24"/>
        </w:rPr>
        <w:t>中间件弱口令检查；</w:t>
      </w:r>
    </w:p>
    <w:p>
      <w:pPr>
        <w:pStyle w:val="null3"/>
        <w:ind w:right="45" w:firstLine="480"/>
        <w:jc w:val="left"/>
      </w:pPr>
      <w:r>
        <w:rPr>
          <w:rFonts w:ascii="仿宋" w:hAnsi="仿宋" w:cs="仿宋" w:eastAsia="仿宋"/>
          <w:sz w:val="24"/>
        </w:rPr>
        <w:t>网络设备弱口令检查；</w:t>
      </w:r>
    </w:p>
    <w:p>
      <w:pPr>
        <w:pStyle w:val="null3"/>
        <w:ind w:right="45" w:firstLine="480"/>
        <w:jc w:val="left"/>
      </w:pPr>
      <w:r>
        <w:rPr>
          <w:rFonts w:ascii="仿宋" w:hAnsi="仿宋" w:cs="仿宋" w:eastAsia="仿宋"/>
          <w:sz w:val="24"/>
        </w:rPr>
        <w:t>安全设备弱口令检查等。</w:t>
      </w:r>
    </w:p>
    <w:p>
      <w:pPr>
        <w:pStyle w:val="null3"/>
        <w:ind w:firstLine="482"/>
        <w:jc w:val="both"/>
      </w:pPr>
      <w:r>
        <w:rPr>
          <w:rFonts w:ascii="仿宋" w:hAnsi="仿宋" w:cs="仿宋" w:eastAsia="仿宋"/>
          <w:sz w:val="24"/>
          <w:b/>
        </w:rPr>
        <w:t>【指标</w:t>
      </w:r>
      <w:r>
        <w:rPr>
          <w:rFonts w:ascii="仿宋" w:hAnsi="仿宋" w:cs="仿宋" w:eastAsia="仿宋"/>
          <w:sz w:val="24"/>
          <w:b/>
        </w:rPr>
        <w:t>22】3.2.8安全配置核查服务</w:t>
      </w:r>
    </w:p>
    <w:p>
      <w:pPr>
        <w:pStyle w:val="null3"/>
        <w:ind w:right="45" w:firstLine="480"/>
        <w:jc w:val="left"/>
      </w:pPr>
      <w:r>
        <w:rPr>
          <w:rFonts w:ascii="仿宋" w:hAnsi="仿宋" w:cs="仿宋" w:eastAsia="仿宋"/>
          <w:sz w:val="24"/>
        </w:rPr>
        <w:t>单位的业务不断发展必然带动网络规模日益扩大，其生产、业务支撑系统的网络结构也变得越来越复杂。其中，重要应用和服务器的数量及种类日益增多，一旦发生维护人员误操作，或者采用一成不变的初始系统设置而忽略了对于安全控制的要求，就可能会极大的影响系统的正常运转。</w:t>
      </w:r>
    </w:p>
    <w:p>
      <w:pPr>
        <w:pStyle w:val="null3"/>
        <w:ind w:right="45" w:firstLine="480"/>
        <w:jc w:val="left"/>
      </w:pPr>
      <w:r>
        <w:rPr>
          <w:rFonts w:ascii="仿宋" w:hAnsi="仿宋" w:cs="仿宋" w:eastAsia="仿宋"/>
          <w:sz w:val="24"/>
        </w:rPr>
        <w:t>置核查服务主要使用评估工具，通过远程的方式对被评估对象进行一系列的安全探测，以发现网络中和系统中可能存在的不安全配置项与安全隐患，包括操作系统、网络设备、数据库、中间件等设备及系统的安全配置加固建。</w:t>
      </w:r>
    </w:p>
    <w:p>
      <w:pPr>
        <w:pStyle w:val="null3"/>
        <w:ind w:firstLine="482"/>
        <w:jc w:val="both"/>
      </w:pPr>
      <w:r>
        <w:rPr>
          <w:rFonts w:ascii="仿宋" w:hAnsi="仿宋" w:cs="仿宋" w:eastAsia="仿宋"/>
          <w:sz w:val="24"/>
          <w:b/>
        </w:rPr>
        <w:t>【指标</w:t>
      </w:r>
      <w:r>
        <w:rPr>
          <w:rFonts w:ascii="仿宋" w:hAnsi="仿宋" w:cs="仿宋" w:eastAsia="仿宋"/>
          <w:sz w:val="24"/>
          <w:b/>
        </w:rPr>
        <w:t>23】3.2.9安全加固指导服务</w:t>
      </w:r>
    </w:p>
    <w:p>
      <w:pPr>
        <w:pStyle w:val="null3"/>
        <w:ind w:right="45" w:firstLine="480"/>
        <w:jc w:val="left"/>
      </w:pPr>
      <w:r>
        <w:rPr>
          <w:rFonts w:ascii="仿宋" w:hAnsi="仿宋" w:cs="仿宋" w:eastAsia="仿宋"/>
          <w:sz w:val="24"/>
        </w:rPr>
        <w:t>由于功能复杂，代码庞大，计算机操作系统、数据库系统在设计上存在一些安全漏洞和一些未知的</w:t>
      </w:r>
      <w:r>
        <w:rPr>
          <w:rFonts w:ascii="仿宋" w:hAnsi="仿宋" w:cs="仿宋" w:eastAsia="仿宋"/>
          <w:sz w:val="24"/>
        </w:rPr>
        <w:t>“后门”。因此，信息系统在投入使用前和使用中，针对服务器操作系统、网络设备、数据库及应用中间件等软件系统，通过打补丁、强化帐号安全、加固服务、修改安全配置、优化访问控制策略、增加安全机制等方法，合理进行安全性加强，提高其健壮性和安全性，增加攻击者入侵的难度，减少安全事件的发生。</w:t>
      </w:r>
    </w:p>
    <w:p>
      <w:pPr>
        <w:pStyle w:val="null3"/>
        <w:ind w:right="45" w:firstLine="480"/>
        <w:jc w:val="left"/>
      </w:pPr>
      <w:r>
        <w:rPr>
          <w:rFonts w:ascii="仿宋" w:hAnsi="仿宋" w:cs="仿宋" w:eastAsia="仿宋"/>
          <w:sz w:val="24"/>
        </w:rPr>
        <w:t>在服务期内针对巡检报告和渗透测试报告，提供加固方案与加固实施回退方案，从而增强信息系统抵抗风险的能力，从而提高整个系统的安全性。加固范围包含主机系统，软件系统，数据库系统、网络设备、网络安全设备、网站等。</w:t>
      </w:r>
    </w:p>
    <w:p>
      <w:pPr>
        <w:pStyle w:val="null3"/>
        <w:ind w:right="45" w:firstLine="480"/>
        <w:jc w:val="left"/>
      </w:pPr>
      <w:r>
        <w:rPr>
          <w:rFonts w:ascii="仿宋" w:hAnsi="仿宋" w:cs="仿宋" w:eastAsia="仿宋"/>
          <w:sz w:val="24"/>
        </w:rPr>
        <w:t>1）系统加固方面：针对前期安全评估及渗透测试结果，进行补丁更新；恶意代码检测和清除；漏洞加固；增加用户密码等信息的复杂度（如长度、字符/数字混合）鉴别检查功能；应用级和文件级访问控制等操作。</w:t>
      </w:r>
    </w:p>
    <w:p>
      <w:pPr>
        <w:pStyle w:val="null3"/>
        <w:ind w:right="45" w:firstLine="480"/>
        <w:jc w:val="left"/>
      </w:pPr>
      <w:r>
        <w:rPr>
          <w:rFonts w:ascii="仿宋" w:hAnsi="仿宋" w:cs="仿宋" w:eastAsia="仿宋"/>
          <w:sz w:val="24"/>
        </w:rPr>
        <w:t>2）网络级加固方面：针对前期安全评估及渗透测试结果，进行网络结构修整；设备安全加固；地址绑定；访问控制策略调整等。</w:t>
      </w:r>
    </w:p>
    <w:p>
      <w:pPr>
        <w:pStyle w:val="null3"/>
        <w:ind w:right="45" w:firstLine="480"/>
        <w:jc w:val="left"/>
      </w:pPr>
      <w:r>
        <w:rPr>
          <w:rFonts w:ascii="仿宋" w:hAnsi="仿宋" w:cs="仿宋" w:eastAsia="仿宋"/>
          <w:sz w:val="24"/>
        </w:rPr>
        <w:t>3）应用及数据库加固方面：针对前期安全评估及渗透测试的结果，进行数据库漏洞修复；数据库安全策略修改；提供应用系统漏洞整改建议，通过安全设备策略调整达到保护应用系统的目的，或者配合软件开发商修补漏洞。</w:t>
      </w:r>
    </w:p>
    <w:p>
      <w:pPr>
        <w:pStyle w:val="null3"/>
        <w:ind w:right="45" w:firstLine="480"/>
        <w:jc w:val="left"/>
      </w:pPr>
      <w:r>
        <w:rPr>
          <w:rFonts w:ascii="仿宋" w:hAnsi="仿宋" w:cs="仿宋" w:eastAsia="仿宋"/>
          <w:sz w:val="24"/>
        </w:rPr>
        <w:t>4）网站加固方面：针对前期安全评估及渗透测试结果，协助网站开发方对网站的内容进行加固，消除网站代码本身存在的不安全因素，达到整体防护要求。</w:t>
      </w:r>
    </w:p>
    <w:p>
      <w:pPr>
        <w:pStyle w:val="null3"/>
        <w:ind w:firstLine="482"/>
        <w:jc w:val="both"/>
      </w:pPr>
      <w:r>
        <w:rPr>
          <w:rFonts w:ascii="仿宋" w:hAnsi="仿宋" w:cs="仿宋" w:eastAsia="仿宋"/>
          <w:sz w:val="24"/>
          <w:b/>
        </w:rPr>
        <w:t>【指标</w:t>
      </w:r>
      <w:r>
        <w:rPr>
          <w:rFonts w:ascii="仿宋" w:hAnsi="仿宋" w:cs="仿宋" w:eastAsia="仿宋"/>
          <w:sz w:val="24"/>
          <w:b/>
        </w:rPr>
        <w:t>24】3.2.10安全措施有效性验证服务</w:t>
      </w:r>
    </w:p>
    <w:p>
      <w:pPr>
        <w:pStyle w:val="null3"/>
        <w:ind w:firstLine="480"/>
        <w:jc w:val="both"/>
      </w:pPr>
      <w:r>
        <w:rPr>
          <w:rFonts w:ascii="仿宋" w:hAnsi="仿宋" w:cs="仿宋" w:eastAsia="仿宋"/>
          <w:sz w:val="24"/>
        </w:rPr>
        <w:t>进行本地中心机房安全措施有效性验证工作，验证本地机房的核心网络设备、安全设备的安全配置符合安全策略要求，验证安全设备的策略是否为最小权限、最小服务，设备的安全审计日志正常工作，能够正确记录安全事件的来源和事件。</w:t>
      </w:r>
    </w:p>
    <w:p>
      <w:pPr>
        <w:pStyle w:val="null3"/>
        <w:ind w:firstLine="482"/>
      </w:pPr>
      <w:r>
        <w:rPr>
          <w:rFonts w:ascii="仿宋" w:hAnsi="仿宋" w:cs="仿宋" w:eastAsia="仿宋"/>
          <w:sz w:val="24"/>
        </w:rPr>
        <w:t>验证服务包括但不限于如下内容：</w:t>
      </w:r>
    </w:p>
    <w:p>
      <w:pPr>
        <w:pStyle w:val="null3"/>
        <w:ind w:left="420"/>
      </w:pPr>
      <w:r>
        <w:rPr>
          <w:rFonts w:ascii="仿宋" w:hAnsi="仿宋" w:cs="仿宋" w:eastAsia="仿宋"/>
          <w:sz w:val="24"/>
        </w:rPr>
        <w:t>《思科路由器安全配置规范》</w:t>
      </w:r>
    </w:p>
    <w:p>
      <w:pPr>
        <w:pStyle w:val="null3"/>
        <w:ind w:left="420"/>
      </w:pPr>
      <w:r>
        <w:rPr>
          <w:rFonts w:ascii="仿宋" w:hAnsi="仿宋" w:cs="仿宋" w:eastAsia="仿宋"/>
          <w:sz w:val="24"/>
        </w:rPr>
        <w:t>《华为路由器安全配置规范》</w:t>
      </w:r>
    </w:p>
    <w:p>
      <w:pPr>
        <w:pStyle w:val="null3"/>
        <w:ind w:left="420"/>
      </w:pPr>
      <w:r>
        <w:rPr>
          <w:rFonts w:ascii="仿宋" w:hAnsi="仿宋" w:cs="仿宋" w:eastAsia="仿宋"/>
          <w:sz w:val="24"/>
        </w:rPr>
        <w:t>《</w:t>
      </w:r>
      <w:r>
        <w:rPr>
          <w:rFonts w:ascii="仿宋" w:hAnsi="仿宋" w:cs="仿宋" w:eastAsia="仿宋"/>
          <w:sz w:val="24"/>
        </w:rPr>
        <w:t>JUNIPER路由器安全配置规范》</w:t>
      </w:r>
    </w:p>
    <w:p>
      <w:pPr>
        <w:pStyle w:val="null3"/>
        <w:ind w:left="420"/>
      </w:pPr>
      <w:r>
        <w:rPr>
          <w:rFonts w:ascii="仿宋" w:hAnsi="仿宋" w:cs="仿宋" w:eastAsia="仿宋"/>
          <w:sz w:val="24"/>
        </w:rPr>
        <w:t>《</w:t>
      </w:r>
      <w:r>
        <w:rPr>
          <w:rFonts w:ascii="仿宋" w:hAnsi="仿宋" w:cs="仿宋" w:eastAsia="仿宋"/>
          <w:sz w:val="24"/>
        </w:rPr>
        <w:t>NETSCREEN防火墙设备安全配置规范》</w:t>
      </w:r>
    </w:p>
    <w:p>
      <w:pPr>
        <w:pStyle w:val="null3"/>
        <w:ind w:left="420"/>
      </w:pPr>
      <w:r>
        <w:rPr>
          <w:rFonts w:ascii="仿宋" w:hAnsi="仿宋" w:cs="仿宋" w:eastAsia="仿宋"/>
          <w:sz w:val="24"/>
        </w:rPr>
        <w:t>《</w:t>
      </w:r>
      <w:r>
        <w:rPr>
          <w:rFonts w:ascii="仿宋" w:hAnsi="仿宋" w:cs="仿宋" w:eastAsia="仿宋"/>
          <w:sz w:val="24"/>
        </w:rPr>
        <w:t>PIX防火墙设备安全配置安全配置核查规范》</w:t>
      </w:r>
    </w:p>
    <w:p>
      <w:pPr>
        <w:pStyle w:val="null3"/>
        <w:ind w:firstLine="482"/>
        <w:jc w:val="both"/>
      </w:pPr>
      <w:r>
        <w:rPr>
          <w:rFonts w:ascii="仿宋" w:hAnsi="仿宋" w:cs="仿宋" w:eastAsia="仿宋"/>
          <w:sz w:val="24"/>
          <w:b/>
        </w:rPr>
        <w:t>【指标</w:t>
      </w:r>
      <w:r>
        <w:rPr>
          <w:rFonts w:ascii="仿宋" w:hAnsi="仿宋" w:cs="仿宋" w:eastAsia="仿宋"/>
          <w:sz w:val="24"/>
          <w:b/>
        </w:rPr>
        <w:t>25】3.2.11基层终端安全检查服务</w:t>
      </w:r>
    </w:p>
    <w:p>
      <w:pPr>
        <w:pStyle w:val="null3"/>
        <w:ind w:right="45" w:firstLine="480"/>
        <w:jc w:val="left"/>
      </w:pPr>
      <w:r>
        <w:rPr>
          <w:rFonts w:ascii="仿宋" w:hAnsi="仿宋" w:cs="仿宋" w:eastAsia="仿宋"/>
          <w:sz w:val="24"/>
        </w:rPr>
        <w:t>当前网络安全形势严峻，网络攻击层出不穷，且攻击来源、攻击目的、攻击方法以及攻击规模都在发生着巨大的变化，尤其针对终端系统的主动入侵、漏洞利用、勒索病毒、未知威胁、非法接入、违规操作、信息泄密、存储介质随意使用等安全问题频发。</w:t>
      </w:r>
    </w:p>
    <w:p>
      <w:pPr>
        <w:pStyle w:val="null3"/>
        <w:ind w:right="45" w:firstLine="480"/>
        <w:jc w:val="left"/>
      </w:pPr>
      <w:r>
        <w:rPr>
          <w:rFonts w:ascii="仿宋" w:hAnsi="仿宋" w:cs="仿宋" w:eastAsia="仿宋"/>
          <w:sz w:val="24"/>
        </w:rPr>
        <w:t>对指定的基层办公主机等进行定期的漏洞测试、弱口令测试、基线策略核查等。通过使用专业的漏洞检查工具，通过扫描的方式来识别办公主机的漏洞和安全性问题，并针对发现的问题提供解决建议或进行及时的修正。</w:t>
      </w:r>
    </w:p>
    <w:p>
      <w:pPr>
        <w:pStyle w:val="null3"/>
        <w:ind w:firstLine="482"/>
        <w:jc w:val="both"/>
      </w:pPr>
      <w:r>
        <w:rPr>
          <w:rFonts w:ascii="仿宋" w:hAnsi="仿宋" w:cs="仿宋" w:eastAsia="仿宋"/>
          <w:sz w:val="24"/>
          <w:b/>
        </w:rPr>
        <w:t>【指标</w:t>
      </w:r>
      <w:r>
        <w:rPr>
          <w:rFonts w:ascii="仿宋" w:hAnsi="仿宋" w:cs="仿宋" w:eastAsia="仿宋"/>
          <w:sz w:val="24"/>
          <w:b/>
        </w:rPr>
        <w:t>26】3.2.12终端保密检查服务</w:t>
      </w:r>
    </w:p>
    <w:p>
      <w:pPr>
        <w:pStyle w:val="null3"/>
        <w:ind w:firstLine="480"/>
        <w:jc w:val="both"/>
      </w:pPr>
      <w:r>
        <w:rPr>
          <w:rFonts w:ascii="仿宋" w:hAnsi="仿宋" w:cs="仿宋" w:eastAsia="仿宋"/>
          <w:sz w:val="24"/>
        </w:rPr>
        <w:t>随着我国信息化建设的快速推进，重要信息越来越多地以电子文档的形式在计算机、移动存储介质等电子载体中出现。针对计算机终端的保密技术检查逐渐成为保密检查工作的重要内容。</w:t>
      </w:r>
    </w:p>
    <w:p>
      <w:pPr>
        <w:pStyle w:val="null3"/>
        <w:ind w:firstLine="480"/>
        <w:jc w:val="both"/>
      </w:pPr>
      <w:r>
        <w:rPr>
          <w:rFonts w:ascii="仿宋" w:hAnsi="仿宋" w:cs="仿宋" w:eastAsia="仿宋"/>
          <w:sz w:val="24"/>
        </w:rPr>
        <w:t>通过最新版计算机保密检查在线工具和线下软件对中心内外网</w:t>
      </w:r>
      <w:r>
        <w:rPr>
          <w:rFonts w:ascii="仿宋" w:hAnsi="仿宋" w:cs="仿宋" w:eastAsia="仿宋"/>
          <w:sz w:val="24"/>
        </w:rPr>
        <w:t>计算机进行专项保密检查，搜集计算机上的敏感文件信息、上网痕迹信息、移动设备插拔记录、通信设备使用记录等信息。根据检查结果，分析当前计算机上存在的违规行为和泄密隐患，并提供直观、可视化的检查报告。</w:t>
      </w:r>
    </w:p>
    <w:p>
      <w:pPr>
        <w:pStyle w:val="null3"/>
        <w:ind w:firstLine="480"/>
        <w:jc w:val="both"/>
      </w:pPr>
      <w:r>
        <w:rPr>
          <w:rFonts w:ascii="仿宋" w:hAnsi="仿宋" w:cs="仿宋" w:eastAsia="仿宋"/>
          <w:sz w:val="24"/>
        </w:rPr>
        <w:t>外网机主要检查是否存储、处理过</w:t>
      </w:r>
      <w:r>
        <w:rPr>
          <w:rFonts w:ascii="仿宋" w:hAnsi="仿宋" w:cs="仿宋" w:eastAsia="仿宋"/>
          <w:sz w:val="24"/>
        </w:rPr>
        <w:t>文件。检查工具会浏览检索计算机硬盘上的所有文件，命中明确标密和内容敏感的文件给出提示，提醒检查人员确认是否违规。</w:t>
      </w:r>
    </w:p>
    <w:p>
      <w:pPr>
        <w:pStyle w:val="null3"/>
        <w:ind w:firstLine="480"/>
        <w:jc w:val="both"/>
      </w:pPr>
      <w:r>
        <w:rPr>
          <w:rFonts w:ascii="仿宋" w:hAnsi="仿宋" w:cs="仿宋" w:eastAsia="仿宋"/>
          <w:sz w:val="24"/>
        </w:rPr>
        <w:t>对政务信息网设备的检查主要关注以下几个方面：一是违规外联情况，政务信息网设备是否连接或曾经连接互联网。二是外部设备连接使用情况，检查所有外部设备连接记录，看是否有违规使用情况，比如是否有移动存储介质交叉使用记录。</w:t>
      </w:r>
    </w:p>
    <w:p>
      <w:pPr>
        <w:pStyle w:val="null3"/>
        <w:ind w:firstLine="482"/>
        <w:jc w:val="both"/>
      </w:pPr>
      <w:r>
        <w:rPr>
          <w:rFonts w:ascii="仿宋" w:hAnsi="仿宋" w:cs="仿宋" w:eastAsia="仿宋"/>
          <w:sz w:val="24"/>
          <w:b/>
        </w:rPr>
        <w:t>【指标</w:t>
      </w:r>
      <w:r>
        <w:rPr>
          <w:rFonts w:ascii="仿宋" w:hAnsi="仿宋" w:cs="仿宋" w:eastAsia="仿宋"/>
          <w:sz w:val="24"/>
          <w:b/>
        </w:rPr>
        <w:t>27】3.2.13新系统上线检测服务</w:t>
      </w:r>
    </w:p>
    <w:p>
      <w:pPr>
        <w:pStyle w:val="null3"/>
        <w:ind w:firstLine="480"/>
        <w:jc w:val="both"/>
      </w:pPr>
      <w:r>
        <w:rPr>
          <w:rFonts w:ascii="仿宋" w:hAnsi="仿宋" w:cs="仿宋" w:eastAsia="仿宋"/>
          <w:sz w:val="24"/>
        </w:rPr>
        <w:t>在自主开发业务系统或委托开发业务系统时，更多的是从业务功能实现方面对业务系统进行验收，缺乏相应的技术手段和能力对交付的业务系统的安全状况进行检验。在系统上线前对系统安全状况进行检验的服务，从信息安全的角度对应用系统、集成环境等内容的安全状况进行评估，对发现的问题进行妥善处理，避免将影响系统安全的问题遗留到系统上线后，成为系统安全的隐患。</w:t>
      </w:r>
    </w:p>
    <w:p>
      <w:pPr>
        <w:pStyle w:val="null3"/>
        <w:ind w:firstLine="480"/>
        <w:jc w:val="both"/>
      </w:pPr>
      <w:r>
        <w:rPr>
          <w:rFonts w:ascii="仿宋" w:hAnsi="仿宋" w:cs="仿宋" w:eastAsia="仿宋"/>
          <w:sz w:val="24"/>
        </w:rPr>
        <w:t>对于在服务期内新上线系统提供全面的安全检查服务，包括对操作系统、中间件、数据库及应用代码的安全检查，并提供加固方案，确认系统安全上线。</w:t>
      </w:r>
    </w:p>
    <w:p>
      <w:pPr>
        <w:pStyle w:val="null3"/>
        <w:ind w:firstLine="482"/>
        <w:jc w:val="both"/>
      </w:pPr>
      <w:r>
        <w:rPr>
          <w:rFonts w:ascii="仿宋" w:hAnsi="仿宋" w:cs="仿宋" w:eastAsia="仿宋"/>
          <w:sz w:val="24"/>
          <w:b/>
        </w:rPr>
        <w:t>【指标</w:t>
      </w:r>
      <w:r>
        <w:rPr>
          <w:rFonts w:ascii="仿宋" w:hAnsi="仿宋" w:cs="仿宋" w:eastAsia="仿宋"/>
          <w:sz w:val="24"/>
          <w:b/>
        </w:rPr>
        <w:t>28】3.2.14安全通告服务</w:t>
      </w:r>
    </w:p>
    <w:p>
      <w:pPr>
        <w:pStyle w:val="null3"/>
        <w:ind w:right="45" w:firstLine="480"/>
        <w:jc w:val="left"/>
      </w:pPr>
      <w:r>
        <w:rPr>
          <w:rFonts w:ascii="仿宋" w:hAnsi="仿宋" w:cs="仿宋" w:eastAsia="仿宋"/>
          <w:sz w:val="24"/>
        </w:rPr>
        <w:t>安全通告服务以邮件、电话、走访等方式，将安全技术和安全信息及时传递给客户。内容包括：</w:t>
      </w:r>
    </w:p>
    <w:p>
      <w:pPr>
        <w:pStyle w:val="null3"/>
        <w:ind w:right="45" w:firstLine="480"/>
        <w:jc w:val="left"/>
      </w:pPr>
      <w:r>
        <w:rPr>
          <w:rFonts w:ascii="仿宋" w:hAnsi="仿宋" w:cs="仿宋" w:eastAsia="仿宋"/>
          <w:sz w:val="24"/>
        </w:rPr>
        <w:t>1）系统漏洞信息：将一段时期内各操作系统、应用系统、网络设备等的最新安全漏洞进行通告，包括漏洞威胁、影响平台及修补方法等；</w:t>
      </w:r>
    </w:p>
    <w:p>
      <w:pPr>
        <w:pStyle w:val="null3"/>
        <w:ind w:right="45" w:firstLine="480"/>
        <w:jc w:val="left"/>
      </w:pPr>
      <w:r>
        <w:rPr>
          <w:rFonts w:ascii="仿宋" w:hAnsi="仿宋" w:cs="仿宋" w:eastAsia="仿宋"/>
          <w:sz w:val="24"/>
        </w:rPr>
        <w:t>2）病毒信息：将一段时期内最具威胁性的病毒信息进行通告，包括病毒危害、感染原理及防护措施等。</w:t>
      </w:r>
    </w:p>
    <w:p>
      <w:pPr>
        <w:pStyle w:val="null3"/>
        <w:ind w:right="45" w:firstLine="480"/>
        <w:jc w:val="left"/>
      </w:pPr>
      <w:r>
        <w:rPr>
          <w:rFonts w:ascii="仿宋" w:hAnsi="仿宋" w:cs="仿宋" w:eastAsia="仿宋"/>
          <w:sz w:val="24"/>
        </w:rPr>
        <w:t>3）安全预警：一旦出现将可能造成大规模网络攻击事件的安全漏洞或病毒木马，进行及时的安全预警，积极进行补丁修复和安全防护。</w:t>
      </w:r>
    </w:p>
    <w:p>
      <w:pPr>
        <w:pStyle w:val="null3"/>
        <w:ind w:right="45" w:firstLine="480"/>
        <w:jc w:val="left"/>
      </w:pPr>
      <w:r>
        <w:rPr>
          <w:rFonts w:ascii="仿宋" w:hAnsi="仿宋" w:cs="仿宋" w:eastAsia="仿宋"/>
          <w:sz w:val="24"/>
        </w:rPr>
        <w:t>4）信息安全事件：将一段时期内，相关的信息安全事件进行通告，避免信息系统遭遇同样安全攻击事件，造成严重损失。</w:t>
      </w:r>
    </w:p>
    <w:p>
      <w:pPr>
        <w:pStyle w:val="null3"/>
        <w:ind w:right="45" w:firstLine="480"/>
        <w:jc w:val="left"/>
      </w:pPr>
      <w:r>
        <w:rPr>
          <w:rFonts w:ascii="仿宋" w:hAnsi="仿宋" w:cs="仿宋" w:eastAsia="仿宋"/>
          <w:sz w:val="24"/>
        </w:rPr>
        <w:t>5）安全技术研究：专业信息安全团队对最新安全技术进行深入研究，包括信息系统漏洞挖掘、风险分析以及安全防护技术。</w:t>
      </w:r>
    </w:p>
    <w:p>
      <w:pPr>
        <w:pStyle w:val="null3"/>
        <w:ind w:firstLine="480"/>
        <w:jc w:val="both"/>
      </w:pPr>
      <w:r>
        <w:rPr>
          <w:rFonts w:ascii="仿宋" w:hAnsi="仿宋" w:cs="仿宋" w:eastAsia="仿宋"/>
          <w:sz w:val="24"/>
        </w:rPr>
        <w:t>通过安全通告服务，迅速、准确地了解安全业界的新方向，包括安全事件的新特点和技术产品新动态、相应地统计数据和分析报告，实现安全预警，在宏观上把握安全趋势，合理规划安全工作。</w:t>
      </w:r>
    </w:p>
    <w:p>
      <w:pPr>
        <w:pStyle w:val="null3"/>
        <w:ind w:firstLine="482"/>
        <w:jc w:val="both"/>
      </w:pPr>
      <w:r>
        <w:rPr>
          <w:rFonts w:ascii="仿宋" w:hAnsi="仿宋" w:cs="仿宋" w:eastAsia="仿宋"/>
          <w:sz w:val="24"/>
          <w:b/>
        </w:rPr>
        <w:t>【指标</w:t>
      </w:r>
      <w:r>
        <w:rPr>
          <w:rFonts w:ascii="仿宋" w:hAnsi="仿宋" w:cs="仿宋" w:eastAsia="仿宋"/>
          <w:sz w:val="24"/>
          <w:b/>
        </w:rPr>
        <w:t>29】3.2.15安全培训服务</w:t>
      </w:r>
    </w:p>
    <w:p>
      <w:pPr>
        <w:pStyle w:val="null3"/>
        <w:ind w:right="45" w:firstLine="480"/>
        <w:jc w:val="left"/>
      </w:pPr>
      <w:r>
        <w:rPr>
          <w:rFonts w:ascii="仿宋" w:hAnsi="仿宋" w:cs="仿宋" w:eastAsia="仿宋"/>
          <w:sz w:val="24"/>
        </w:rPr>
        <w:t>结合现状提供建设性网络安全管理体系建设建议，提供不少于</w:t>
      </w:r>
      <w:r>
        <w:rPr>
          <w:rFonts w:ascii="仿宋" w:hAnsi="仿宋" w:cs="仿宋" w:eastAsia="仿宋"/>
          <w:sz w:val="24"/>
        </w:rPr>
        <w:t>2次的网络安全相关的培训。</w:t>
      </w:r>
    </w:p>
    <w:p>
      <w:pPr>
        <w:pStyle w:val="null3"/>
        <w:ind w:firstLine="480"/>
        <w:jc w:val="both"/>
      </w:pPr>
      <w:r>
        <w:rPr>
          <w:rFonts w:ascii="仿宋" w:hAnsi="仿宋" w:cs="仿宋" w:eastAsia="仿宋"/>
          <w:sz w:val="24"/>
        </w:rPr>
        <w:t>针对不同层次的员工，进行有关信息安全管理的理论培训、安全管理制度教育、安全防范意识宣传和专门安全技术训练，确保组织信息安全策略、规章制度和技术规范的顺利执行，从而最大限度地降低和消除安全风险。</w:t>
      </w:r>
    </w:p>
    <w:p>
      <w:pPr>
        <w:pStyle w:val="null3"/>
        <w:ind w:firstLine="480"/>
        <w:jc w:val="both"/>
      </w:pPr>
      <w:r>
        <w:rPr>
          <w:rFonts w:ascii="仿宋" w:hAnsi="仿宋" w:cs="仿宋" w:eastAsia="仿宋"/>
          <w:sz w:val="24"/>
        </w:rPr>
        <w:t>安全意识培训</w:t>
      </w:r>
    </w:p>
    <w:p>
      <w:pPr>
        <w:pStyle w:val="null3"/>
        <w:ind w:firstLine="480"/>
        <w:jc w:val="both"/>
      </w:pPr>
      <w:r>
        <w:rPr>
          <w:rFonts w:ascii="仿宋" w:hAnsi="仿宋" w:cs="仿宋" w:eastAsia="仿宋"/>
          <w:sz w:val="24"/>
        </w:rPr>
        <w:t>通过对客户全体员工的安全培训和教育工作，提高全体工作人员的信息安全意识和操作水平，降低由于人为原因引发的安全风险。</w:t>
      </w:r>
    </w:p>
    <w:p>
      <w:pPr>
        <w:pStyle w:val="null3"/>
        <w:ind w:firstLine="480"/>
        <w:jc w:val="both"/>
      </w:pPr>
      <w:r>
        <w:rPr>
          <w:rFonts w:ascii="仿宋" w:hAnsi="仿宋" w:cs="仿宋" w:eastAsia="仿宋"/>
          <w:sz w:val="24"/>
        </w:rPr>
        <w:t>技术类培训</w:t>
      </w:r>
    </w:p>
    <w:p>
      <w:pPr>
        <w:pStyle w:val="null3"/>
        <w:ind w:firstLine="480"/>
        <w:jc w:val="both"/>
      </w:pPr>
      <w:r>
        <w:rPr>
          <w:rFonts w:ascii="仿宋" w:hAnsi="仿宋" w:cs="仿宋" w:eastAsia="仿宋"/>
          <w:sz w:val="24"/>
        </w:rPr>
        <w:t>针对具体负责网络安全运维的技术人员，进行系统化的专业培训，培训内容包括基础理论、技术原理，以及产品的功能、安装、配置及运行维护等方面的详细培训，并结合实验室上机试验，使参加培训的人员能够熟练的掌握产品的运行维护方法，能够独立管理和维护设备，同时对安全技术有较全面的了解。</w:t>
      </w:r>
    </w:p>
    <w:p>
      <w:pPr>
        <w:pStyle w:val="null3"/>
        <w:ind w:firstLine="480"/>
        <w:jc w:val="both"/>
      </w:pPr>
      <w:r>
        <w:rPr>
          <w:rFonts w:ascii="仿宋" w:hAnsi="仿宋" w:cs="仿宋" w:eastAsia="仿宋"/>
          <w:sz w:val="24"/>
        </w:rPr>
        <w:t>管理类培训</w:t>
      </w:r>
    </w:p>
    <w:p>
      <w:pPr>
        <w:pStyle w:val="null3"/>
        <w:ind w:firstLine="480"/>
        <w:jc w:val="both"/>
      </w:pPr>
      <w:r>
        <w:rPr>
          <w:rFonts w:ascii="仿宋" w:hAnsi="仿宋" w:cs="仿宋" w:eastAsia="仿宋"/>
          <w:sz w:val="24"/>
        </w:rPr>
        <w:t>针对客户不同层面、不同职责、不同岗位的人员进行培训，在客户方内部推行、实施已建立的安全管理体系，提高信息安全管理水平。</w:t>
      </w:r>
    </w:p>
    <w:p>
      <w:pPr>
        <w:pStyle w:val="null3"/>
        <w:ind w:firstLine="480"/>
        <w:jc w:val="both"/>
      </w:pPr>
      <w:r>
        <w:rPr>
          <w:rFonts w:ascii="仿宋" w:hAnsi="仿宋" w:cs="仿宋" w:eastAsia="仿宋"/>
          <w:sz w:val="24"/>
        </w:rPr>
        <w:t>安全流程制度培训</w:t>
      </w:r>
    </w:p>
    <w:p>
      <w:pPr>
        <w:pStyle w:val="null3"/>
        <w:ind w:firstLine="480"/>
        <w:jc w:val="both"/>
      </w:pPr>
      <w:r>
        <w:rPr>
          <w:rFonts w:ascii="仿宋" w:hAnsi="仿宋" w:cs="仿宋" w:eastAsia="仿宋"/>
          <w:sz w:val="24"/>
        </w:rPr>
        <w:t>针对相关的安全流程、安全制度、安全规范、安全运维计划进行培训，使员工了解相关的、系统级的安全体系操作流程和制度。</w:t>
      </w:r>
    </w:p>
    <w:p>
      <w:pPr>
        <w:pStyle w:val="null3"/>
        <w:ind w:firstLine="480"/>
        <w:jc w:val="both"/>
      </w:pPr>
      <w:r>
        <w:rPr>
          <w:rFonts w:ascii="仿宋" w:hAnsi="仿宋" w:cs="仿宋" w:eastAsia="仿宋"/>
          <w:sz w:val="24"/>
        </w:rPr>
        <w:t>根据</w:t>
      </w:r>
      <w:r>
        <w:rPr>
          <w:rFonts w:ascii="仿宋" w:hAnsi="仿宋" w:cs="仿宋" w:eastAsia="仿宋"/>
          <w:sz w:val="24"/>
        </w:rPr>
        <w:t>中心</w:t>
      </w:r>
      <w:r>
        <w:rPr>
          <w:rFonts w:ascii="仿宋" w:hAnsi="仿宋" w:cs="仿宋" w:eastAsia="仿宋"/>
          <w:sz w:val="24"/>
        </w:rPr>
        <w:t>提出实际需求根据不同对象提供相应的培训服务</w:t>
      </w:r>
    </w:p>
    <w:p>
      <w:pPr>
        <w:pStyle w:val="null3"/>
        <w:ind w:right="45" w:firstLine="480"/>
        <w:jc w:val="left"/>
      </w:pPr>
      <w:r>
        <w:rPr>
          <w:rFonts w:ascii="仿宋" w:hAnsi="仿宋" w:cs="仿宋" w:eastAsia="仿宋"/>
          <w:sz w:val="24"/>
        </w:rPr>
        <w:t>培训内容可包括：</w:t>
      </w:r>
    </w:p>
    <w:p>
      <w:pPr>
        <w:pStyle w:val="null3"/>
        <w:ind w:right="45" w:firstLine="480"/>
        <w:jc w:val="left"/>
      </w:pPr>
      <w:r>
        <w:rPr>
          <w:rFonts w:ascii="仿宋" w:hAnsi="仿宋" w:cs="仿宋" w:eastAsia="仿宋"/>
          <w:sz w:val="24"/>
        </w:rPr>
        <w:t>1）信息安全的基本概念和原则；</w:t>
      </w:r>
    </w:p>
    <w:p>
      <w:pPr>
        <w:pStyle w:val="null3"/>
        <w:ind w:right="45" w:firstLine="480"/>
        <w:jc w:val="left"/>
      </w:pPr>
      <w:r>
        <w:rPr>
          <w:rFonts w:ascii="仿宋" w:hAnsi="仿宋" w:cs="仿宋" w:eastAsia="仿宋"/>
          <w:sz w:val="24"/>
        </w:rPr>
        <w:t>2）信息系统安全威胁和风险；</w:t>
      </w:r>
    </w:p>
    <w:p>
      <w:pPr>
        <w:pStyle w:val="null3"/>
        <w:ind w:right="45" w:firstLine="480"/>
        <w:jc w:val="left"/>
      </w:pPr>
      <w:r>
        <w:rPr>
          <w:rFonts w:ascii="仿宋" w:hAnsi="仿宋" w:cs="仿宋" w:eastAsia="仿宋"/>
          <w:sz w:val="24"/>
        </w:rPr>
        <w:t>3）信息安全策略和制度；</w:t>
      </w:r>
    </w:p>
    <w:p>
      <w:pPr>
        <w:pStyle w:val="null3"/>
        <w:ind w:right="45" w:firstLine="480"/>
        <w:jc w:val="left"/>
      </w:pPr>
      <w:r>
        <w:rPr>
          <w:rFonts w:ascii="仿宋" w:hAnsi="仿宋" w:cs="仿宋" w:eastAsia="仿宋"/>
          <w:sz w:val="24"/>
        </w:rPr>
        <w:t>4）信息安全习惯；</w:t>
      </w:r>
    </w:p>
    <w:p>
      <w:pPr>
        <w:pStyle w:val="null3"/>
        <w:ind w:right="45" w:firstLine="480"/>
        <w:jc w:val="left"/>
      </w:pPr>
      <w:r>
        <w:rPr>
          <w:rFonts w:ascii="仿宋" w:hAnsi="仿宋" w:cs="仿宋" w:eastAsia="仿宋"/>
          <w:sz w:val="24"/>
        </w:rPr>
        <w:t>5）某行业热点安全事件；</w:t>
      </w:r>
    </w:p>
    <w:p>
      <w:pPr>
        <w:pStyle w:val="null3"/>
        <w:ind w:right="45" w:firstLine="480"/>
        <w:jc w:val="left"/>
      </w:pPr>
      <w:r>
        <w:rPr>
          <w:rFonts w:ascii="仿宋" w:hAnsi="仿宋" w:cs="仿宋" w:eastAsia="仿宋"/>
          <w:sz w:val="24"/>
        </w:rPr>
        <w:t>6）某行业安全威胁和风险；</w:t>
      </w:r>
    </w:p>
    <w:p>
      <w:pPr>
        <w:pStyle w:val="null3"/>
        <w:ind w:right="45" w:firstLine="480"/>
        <w:jc w:val="left"/>
      </w:pPr>
      <w:r>
        <w:rPr>
          <w:rFonts w:ascii="仿宋" w:hAnsi="仿宋" w:cs="仿宋" w:eastAsia="仿宋"/>
          <w:sz w:val="24"/>
        </w:rPr>
        <w:t>7）某行业信息安全工作现状；</w:t>
      </w:r>
    </w:p>
    <w:p>
      <w:pPr>
        <w:pStyle w:val="null3"/>
        <w:ind w:right="45" w:firstLine="480"/>
        <w:jc w:val="left"/>
      </w:pPr>
      <w:r>
        <w:rPr>
          <w:rFonts w:ascii="仿宋" w:hAnsi="仿宋" w:cs="仿宋" w:eastAsia="仿宋"/>
          <w:sz w:val="24"/>
        </w:rPr>
        <w:t>8）某行业信息安全规划。</w:t>
      </w:r>
    </w:p>
    <w:p>
      <w:pPr>
        <w:pStyle w:val="null3"/>
        <w:ind w:firstLine="482"/>
        <w:jc w:val="both"/>
      </w:pPr>
      <w:r>
        <w:rPr>
          <w:rFonts w:ascii="仿宋" w:hAnsi="仿宋" w:cs="仿宋" w:eastAsia="仿宋"/>
          <w:sz w:val="24"/>
          <w:b/>
        </w:rPr>
        <w:t>【指标</w:t>
      </w:r>
      <w:r>
        <w:rPr>
          <w:rFonts w:ascii="仿宋" w:hAnsi="仿宋" w:cs="仿宋" w:eastAsia="仿宋"/>
          <w:sz w:val="24"/>
          <w:b/>
        </w:rPr>
        <w:t>30】3.2.16演练支撑服务</w:t>
      </w:r>
    </w:p>
    <w:p>
      <w:pPr>
        <w:pStyle w:val="null3"/>
        <w:ind w:firstLine="480"/>
        <w:jc w:val="both"/>
      </w:pPr>
      <w:r>
        <w:rPr>
          <w:rFonts w:ascii="仿宋" w:hAnsi="仿宋" w:cs="仿宋" w:eastAsia="仿宋"/>
          <w:sz w:val="24"/>
        </w:rPr>
        <w:t>在服务期内协助</w:t>
      </w:r>
      <w:r>
        <w:rPr>
          <w:rFonts w:ascii="仿宋" w:hAnsi="仿宋" w:cs="仿宋" w:eastAsia="仿宋"/>
          <w:sz w:val="24"/>
        </w:rPr>
        <w:t>中心</w:t>
      </w:r>
      <w:r>
        <w:rPr>
          <w:rFonts w:ascii="仿宋" w:hAnsi="仿宋" w:cs="仿宋" w:eastAsia="仿宋"/>
          <w:sz w:val="24"/>
        </w:rPr>
        <w:t>参与上级主管部门组织的攻防演练活动，一年至少一次；按照演练要求，安排一线技术人员进行现场或者远程进行值守保障工作，做好</w:t>
      </w:r>
      <w:r>
        <w:rPr>
          <w:rFonts w:ascii="仿宋" w:hAnsi="仿宋" w:cs="仿宋" w:eastAsia="仿宋"/>
          <w:sz w:val="24"/>
        </w:rPr>
        <w:t>“演练”前期准备、安全自查整改、攻防演练和演练总结等各阶段相关工作。</w:t>
      </w:r>
    </w:p>
    <w:p>
      <w:pPr>
        <w:pStyle w:val="null3"/>
        <w:ind w:firstLine="480"/>
        <w:jc w:val="both"/>
      </w:pPr>
      <w:r>
        <w:rPr>
          <w:rFonts w:ascii="仿宋" w:hAnsi="仿宋" w:cs="仿宋" w:eastAsia="仿宋"/>
          <w:sz w:val="24"/>
        </w:rPr>
        <w:t>保证演练期间，与相关单位联合作战，充分利用现有安全检测与防御手段，结合安全监测与分析经验，实时检测与分析攻击行为，快速响应处置，抑制攻击事件，顺利完成监管部门安排的</w:t>
      </w:r>
      <w:r>
        <w:rPr>
          <w:rFonts w:ascii="仿宋" w:hAnsi="仿宋" w:cs="仿宋" w:eastAsia="仿宋"/>
          <w:sz w:val="24"/>
        </w:rPr>
        <w:t>“演练”工作任务；并按照要求提供相关台账材料。</w:t>
      </w:r>
    </w:p>
    <w:p>
      <w:pPr>
        <w:pStyle w:val="null3"/>
        <w:ind w:firstLine="482"/>
        <w:jc w:val="both"/>
      </w:pPr>
      <w:r>
        <w:rPr>
          <w:rFonts w:ascii="仿宋" w:hAnsi="仿宋" w:cs="仿宋" w:eastAsia="仿宋"/>
          <w:sz w:val="24"/>
          <w:b/>
        </w:rPr>
        <w:t>【指标</w:t>
      </w:r>
      <w:r>
        <w:rPr>
          <w:rFonts w:ascii="仿宋" w:hAnsi="仿宋" w:cs="仿宋" w:eastAsia="仿宋"/>
          <w:sz w:val="24"/>
          <w:b/>
        </w:rPr>
        <w:t>31】3.2.17安全咨询服务</w:t>
      </w:r>
    </w:p>
    <w:p>
      <w:pPr>
        <w:pStyle w:val="null3"/>
        <w:ind w:right="45" w:firstLine="480"/>
        <w:jc w:val="left"/>
      </w:pPr>
      <w:r>
        <w:rPr>
          <w:rFonts w:ascii="仿宋" w:hAnsi="仿宋" w:cs="仿宋" w:eastAsia="仿宋"/>
          <w:sz w:val="24"/>
        </w:rPr>
        <w:t>提供如下方面的咨询服务：</w:t>
      </w:r>
    </w:p>
    <w:p>
      <w:pPr>
        <w:pStyle w:val="null3"/>
        <w:ind w:right="45" w:firstLine="480"/>
        <w:jc w:val="left"/>
      </w:pPr>
      <w:r>
        <w:rPr>
          <w:rFonts w:ascii="仿宋" w:hAnsi="仿宋" w:cs="仿宋" w:eastAsia="仿宋"/>
          <w:sz w:val="24"/>
        </w:rPr>
        <w:t>1）当系统出现异常，怀疑为安全事件时，提供分析建议。</w:t>
      </w:r>
    </w:p>
    <w:p>
      <w:pPr>
        <w:pStyle w:val="null3"/>
        <w:ind w:right="45" w:firstLine="480"/>
        <w:jc w:val="left"/>
      </w:pPr>
      <w:r>
        <w:rPr>
          <w:rFonts w:ascii="仿宋" w:hAnsi="仿宋" w:cs="仿宋" w:eastAsia="仿宋"/>
          <w:sz w:val="24"/>
        </w:rPr>
        <w:t>2）当发生病毒爆发事件时，提供技术解决方案建议。</w:t>
      </w:r>
    </w:p>
    <w:p>
      <w:pPr>
        <w:pStyle w:val="null3"/>
        <w:ind w:right="45" w:firstLine="480"/>
        <w:jc w:val="left"/>
      </w:pPr>
      <w:r>
        <w:rPr>
          <w:rFonts w:ascii="仿宋" w:hAnsi="仿宋" w:cs="仿宋" w:eastAsia="仿宋"/>
          <w:sz w:val="24"/>
        </w:rPr>
        <w:t>3）对发布给中心的各种安全公告、漏洞信息进行进一步深入解释。</w:t>
      </w:r>
    </w:p>
    <w:p>
      <w:pPr>
        <w:pStyle w:val="null3"/>
        <w:ind w:right="45" w:firstLine="480"/>
        <w:jc w:val="left"/>
      </w:pPr>
      <w:r>
        <w:rPr>
          <w:rFonts w:ascii="仿宋" w:hAnsi="仿宋" w:cs="仿宋" w:eastAsia="仿宋"/>
          <w:sz w:val="24"/>
        </w:rPr>
        <w:t>服务方式</w:t>
      </w:r>
    </w:p>
    <w:p>
      <w:pPr>
        <w:pStyle w:val="null3"/>
        <w:ind w:right="45" w:firstLine="480"/>
        <w:jc w:val="left"/>
      </w:pPr>
      <w:r>
        <w:rPr>
          <w:rFonts w:ascii="仿宋" w:hAnsi="仿宋" w:cs="仿宋" w:eastAsia="仿宋"/>
          <w:sz w:val="24"/>
        </w:rPr>
        <w:t>以下列方式为客户提供咨询服务：</w:t>
      </w:r>
    </w:p>
    <w:p>
      <w:pPr>
        <w:pStyle w:val="null3"/>
        <w:ind w:right="45" w:firstLine="480"/>
        <w:jc w:val="left"/>
      </w:pPr>
      <w:r>
        <w:rPr>
          <w:rFonts w:ascii="仿宋" w:hAnsi="仿宋" w:cs="仿宋" w:eastAsia="仿宋"/>
          <w:sz w:val="24"/>
        </w:rPr>
        <w:t>1）登记通告服务用户信息，分配用户支持号，提供服务热线号码，服务支持邮箱以供联系。</w:t>
      </w:r>
    </w:p>
    <w:p>
      <w:pPr>
        <w:pStyle w:val="null3"/>
        <w:ind w:right="45" w:firstLine="480"/>
        <w:jc w:val="left"/>
      </w:pPr>
      <w:r>
        <w:rPr>
          <w:rFonts w:ascii="仿宋" w:hAnsi="仿宋" w:cs="仿宋" w:eastAsia="仿宋"/>
          <w:sz w:val="24"/>
        </w:rPr>
        <w:t>2）以电话、传真和电子邮件等方式回答客户的相关安全咨询。</w:t>
      </w:r>
    </w:p>
    <w:p>
      <w:pPr>
        <w:pStyle w:val="null3"/>
        <w:ind w:right="45" w:firstLine="480"/>
        <w:jc w:val="left"/>
      </w:pPr>
      <w:r>
        <w:rPr>
          <w:rFonts w:ascii="仿宋" w:hAnsi="仿宋" w:cs="仿宋" w:eastAsia="仿宋"/>
          <w:sz w:val="24"/>
        </w:rPr>
        <w:t>3）每周7×24小时，全年电话技术支持。</w:t>
      </w:r>
    </w:p>
    <w:p>
      <w:pPr>
        <w:pStyle w:val="null3"/>
        <w:ind w:right="45" w:firstLine="480"/>
        <w:jc w:val="left"/>
      </w:pPr>
      <w:r>
        <w:rPr>
          <w:rFonts w:ascii="仿宋" w:hAnsi="仿宋" w:cs="仿宋" w:eastAsia="仿宋"/>
          <w:sz w:val="24"/>
        </w:rPr>
        <w:t>4）专人记录用户技术人员的咨询、投诉，并及时反馈。</w:t>
      </w:r>
    </w:p>
    <w:p>
      <w:pPr>
        <w:pStyle w:val="null3"/>
        <w:ind w:right="45" w:firstLine="480"/>
        <w:jc w:val="left"/>
      </w:pPr>
      <w:r>
        <w:rPr>
          <w:rFonts w:ascii="仿宋" w:hAnsi="仿宋" w:cs="仿宋" w:eastAsia="仿宋"/>
          <w:sz w:val="24"/>
        </w:rPr>
        <w:t>5）提交相应的安全咨询服务汇总。</w:t>
      </w:r>
    </w:p>
    <w:p>
      <w:pPr>
        <w:pStyle w:val="null3"/>
        <w:ind w:firstLine="482"/>
        <w:jc w:val="both"/>
      </w:pPr>
      <w:r>
        <w:rPr>
          <w:rFonts w:ascii="仿宋" w:hAnsi="仿宋" w:cs="仿宋" w:eastAsia="仿宋"/>
          <w:sz w:val="24"/>
          <w:b/>
        </w:rPr>
        <w:t>【指标</w:t>
      </w:r>
      <w:r>
        <w:rPr>
          <w:rFonts w:ascii="仿宋" w:hAnsi="仿宋" w:cs="仿宋" w:eastAsia="仿宋"/>
          <w:sz w:val="24"/>
          <w:b/>
        </w:rPr>
        <w:t>32】3.2.18基础制度文档编写服务</w:t>
      </w:r>
    </w:p>
    <w:p>
      <w:pPr>
        <w:pStyle w:val="null3"/>
        <w:ind w:right="45" w:firstLine="480"/>
        <w:jc w:val="left"/>
      </w:pPr>
      <w:r>
        <w:rPr>
          <w:rFonts w:ascii="仿宋" w:hAnsi="仿宋" w:cs="仿宋" w:eastAsia="仿宋"/>
          <w:sz w:val="24"/>
        </w:rPr>
        <w:t>依据等级保护安全管理制度要求编制基础制度文档和更新。</w:t>
      </w:r>
    </w:p>
    <w:p>
      <w:pPr>
        <w:pStyle w:val="null3"/>
        <w:ind w:right="45" w:firstLine="480"/>
        <w:jc w:val="left"/>
      </w:pPr>
      <w:r>
        <w:rPr>
          <w:rFonts w:ascii="仿宋" w:hAnsi="仿宋" w:cs="仿宋" w:eastAsia="仿宋"/>
          <w:sz w:val="24"/>
        </w:rPr>
        <w:t>按照信息系统安全等级保护标准《信息系统安全等级保护基本要求》、《信息系统安全等级保护实施指南》、《</w:t>
      </w:r>
      <w:r>
        <w:rPr>
          <w:rFonts w:ascii="仿宋" w:hAnsi="仿宋" w:cs="仿宋" w:eastAsia="仿宋"/>
          <w:sz w:val="24"/>
        </w:rPr>
        <w:t>ISO/IEC 27001:2005信息安全技术 信息系统安全管理要求》，以及政府行业的信息安全管理现状和安全管理的需求，协助修订信息安全管理体系及文档，包括信息安全策略、管理制度、流程、表单等如下：</w:t>
      </w:r>
    </w:p>
    <w:p>
      <w:pPr>
        <w:pStyle w:val="null3"/>
        <w:ind w:right="45" w:firstLine="480"/>
        <w:jc w:val="left"/>
      </w:pPr>
      <w:r>
        <w:rPr>
          <w:rFonts w:ascii="仿宋" w:hAnsi="仿宋" w:cs="仿宋" w:eastAsia="仿宋"/>
          <w:sz w:val="24"/>
        </w:rPr>
        <w:t>安全管理体系：安全策略、管理制度、操作规程的制定和发布、评审和修订等方面，包括确定安全方针，制定安全策略，构建机构信息系统的安全技术体系结构和安全管理体系结构。</w:t>
      </w:r>
    </w:p>
    <w:p>
      <w:pPr>
        <w:pStyle w:val="null3"/>
        <w:ind w:firstLine="482"/>
        <w:jc w:val="both"/>
      </w:pPr>
      <w:r>
        <w:rPr>
          <w:rFonts w:ascii="仿宋" w:hAnsi="仿宋" w:cs="仿宋" w:eastAsia="仿宋"/>
          <w:sz w:val="24"/>
          <w:b/>
        </w:rPr>
        <w:t>【指标</w:t>
      </w:r>
      <w:r>
        <w:rPr>
          <w:rFonts w:ascii="仿宋" w:hAnsi="仿宋" w:cs="仿宋" w:eastAsia="仿宋"/>
          <w:sz w:val="24"/>
          <w:b/>
        </w:rPr>
        <w:t>33】3.2.19应急响应服务</w:t>
      </w:r>
    </w:p>
    <w:p>
      <w:pPr>
        <w:pStyle w:val="null3"/>
        <w:ind w:right="45" w:firstLine="480"/>
        <w:jc w:val="left"/>
      </w:pPr>
      <w:r>
        <w:rPr>
          <w:rFonts w:ascii="仿宋" w:hAnsi="仿宋" w:cs="仿宋" w:eastAsia="仿宋"/>
          <w:sz w:val="24"/>
        </w:rPr>
        <w:t>1）</w:t>
      </w:r>
      <w:r>
        <w:rPr>
          <w:rFonts w:ascii="仿宋" w:hAnsi="仿宋" w:cs="仿宋" w:eastAsia="仿宋"/>
          <w:sz w:val="24"/>
        </w:rPr>
        <w:t>应急响应</w:t>
      </w:r>
    </w:p>
    <w:p>
      <w:pPr>
        <w:pStyle w:val="null3"/>
        <w:ind w:right="45" w:firstLine="480"/>
        <w:jc w:val="left"/>
      </w:pPr>
      <w:r>
        <w:rPr>
          <w:rFonts w:ascii="仿宋" w:hAnsi="仿宋" w:cs="仿宋" w:eastAsia="仿宋"/>
          <w:sz w:val="24"/>
        </w:rPr>
        <w:t>在合同期限内接到应急响应服务请求完成止损处理后，协助深入分析日志，解析事件原因，加固系统，并提供改进建议。</w:t>
      </w:r>
    </w:p>
    <w:p>
      <w:pPr>
        <w:pStyle w:val="null3"/>
        <w:ind w:right="45" w:firstLine="480"/>
        <w:jc w:val="left"/>
      </w:pPr>
      <w:r>
        <w:rPr>
          <w:rFonts w:ascii="仿宋" w:hAnsi="仿宋" w:cs="仿宋" w:eastAsia="仿宋"/>
          <w:sz w:val="24"/>
        </w:rPr>
        <w:t>安全事件应急响应时间要求如下：</w:t>
      </w:r>
    </w:p>
    <w:tbl>
      <w:tblPr>
        <w:tblW w:w="0" w:type="auto"/>
        <w:tblBorders>
          <w:top w:val="none" w:color="000000" w:sz="4"/>
          <w:left w:val="none" w:color="000000" w:sz="4"/>
          <w:bottom w:val="none" w:color="000000" w:sz="4"/>
          <w:right w:val="none" w:color="000000" w:sz="4"/>
          <w:insideH w:val="none"/>
          <w:insideV w:val="none"/>
        </w:tblBorders>
      </w:tblPr>
      <w:tblGrid>
        <w:gridCol w:w="1661"/>
        <w:gridCol w:w="1661"/>
        <w:gridCol w:w="1661"/>
        <w:gridCol w:w="1661"/>
        <w:gridCol w:w="1661"/>
      </w:tblGrid>
      <w:tr>
        <w:tc>
          <w:tcPr>
            <w:tcW w:type="dxa" w:w="1661"/>
            <w:tcBorders>
              <w:top w:val="outset" w:color="000000" w:sz="4"/>
              <w:left w:val="outset" w:color="000000" w:sz="4"/>
              <w:bottom w:val="outset" w:color="000000" w:sz="4"/>
              <w:right w:val="outset" w:color="000000" w:sz="4"/>
            </w:tcBorders>
            <w:tcMar>
              <w:top w:type="dxa" w:w="0"/>
              <w:left w:type="dxa" w:w="135"/>
              <w:bottom w:type="dxa" w:w="0"/>
              <w:right w:type="dxa" w:w="135"/>
            </w:tcMar>
            <w:vAlign w:val="top"/>
          </w:tcPr>
          <w:p>
            <w:pPr>
              <w:pStyle w:val="null3"/>
              <w:jc w:val="both"/>
            </w:pPr>
            <w:r>
              <w:rPr>
                <w:rFonts w:ascii="仿宋" w:hAnsi="仿宋" w:cs="仿宋" w:eastAsia="仿宋"/>
                <w:sz w:val="24"/>
                <w:b/>
              </w:rPr>
              <w:t>级别</w:t>
            </w:r>
          </w:p>
        </w:tc>
        <w:tc>
          <w:tcPr>
            <w:tcW w:type="dxa" w:w="1661"/>
            <w:tcBorders>
              <w:top w:val="outset" w:color="000000" w:sz="4"/>
              <w:left w:val="none" w:color="000000" w:sz="4"/>
              <w:bottom w:val="outset" w:color="000000" w:sz="4"/>
              <w:right w:val="outset" w:color="000000" w:sz="4"/>
            </w:tcBorders>
            <w:tcMar>
              <w:top w:type="dxa" w:w="0"/>
              <w:left w:type="dxa" w:w="135"/>
              <w:bottom w:type="dxa" w:w="0"/>
              <w:right w:type="dxa" w:w="135"/>
            </w:tcMar>
            <w:vAlign w:val="top"/>
          </w:tcPr>
          <w:p>
            <w:pPr>
              <w:pStyle w:val="null3"/>
              <w:jc w:val="both"/>
            </w:pPr>
            <w:r>
              <w:rPr>
                <w:rFonts w:ascii="仿宋" w:hAnsi="仿宋" w:cs="仿宋" w:eastAsia="仿宋"/>
                <w:sz w:val="24"/>
                <w:b/>
              </w:rPr>
              <w:t>事件定义</w:t>
            </w:r>
          </w:p>
        </w:tc>
        <w:tc>
          <w:tcPr>
            <w:tcW w:type="dxa" w:w="1661"/>
            <w:tcBorders>
              <w:top w:val="outset" w:color="000000" w:sz="4"/>
              <w:left w:val="none" w:color="000000" w:sz="4"/>
              <w:bottom w:val="outset" w:color="000000" w:sz="4"/>
              <w:right w:val="outset" w:color="000000" w:sz="4"/>
            </w:tcBorders>
            <w:tcMar>
              <w:top w:type="dxa" w:w="0"/>
              <w:left w:type="dxa" w:w="135"/>
              <w:bottom w:type="dxa" w:w="0"/>
              <w:right w:type="dxa" w:w="135"/>
            </w:tcMar>
            <w:vAlign w:val="top"/>
          </w:tcPr>
          <w:p>
            <w:pPr>
              <w:pStyle w:val="null3"/>
              <w:jc w:val="center"/>
            </w:pPr>
            <w:r>
              <w:rPr>
                <w:rFonts w:ascii="仿宋" w:hAnsi="仿宋" w:cs="仿宋" w:eastAsia="仿宋"/>
                <w:sz w:val="24"/>
                <w:b/>
              </w:rPr>
              <w:t>电话响应时限</w:t>
            </w:r>
          </w:p>
        </w:tc>
        <w:tc>
          <w:tcPr>
            <w:tcW w:type="dxa" w:w="1661"/>
            <w:tcBorders>
              <w:top w:val="outset" w:color="000000" w:sz="4"/>
              <w:left w:val="none" w:color="000000" w:sz="4"/>
              <w:bottom w:val="outset" w:color="000000" w:sz="4"/>
              <w:right w:val="outset" w:color="000000" w:sz="4"/>
            </w:tcBorders>
            <w:tcMar>
              <w:top w:type="dxa" w:w="0"/>
              <w:left w:type="dxa" w:w="135"/>
              <w:bottom w:type="dxa" w:w="0"/>
              <w:right w:type="dxa" w:w="135"/>
            </w:tcMar>
            <w:vAlign w:val="top"/>
          </w:tcPr>
          <w:p>
            <w:pPr>
              <w:pStyle w:val="null3"/>
              <w:jc w:val="center"/>
            </w:pPr>
            <w:r>
              <w:rPr>
                <w:rFonts w:ascii="仿宋" w:hAnsi="仿宋" w:cs="仿宋" w:eastAsia="仿宋"/>
                <w:sz w:val="24"/>
                <w:b/>
              </w:rPr>
              <w:t>现场响应时限</w:t>
            </w:r>
          </w:p>
        </w:tc>
        <w:tc>
          <w:tcPr>
            <w:tcW w:type="dxa" w:w="1661"/>
            <w:tcBorders>
              <w:top w:val="outset" w:color="000000" w:sz="4"/>
              <w:left w:val="none" w:color="000000" w:sz="4"/>
              <w:bottom w:val="outset" w:color="000000" w:sz="4"/>
              <w:right w:val="outset" w:color="000000" w:sz="4"/>
            </w:tcBorders>
            <w:tcMar>
              <w:top w:type="dxa" w:w="0"/>
              <w:left w:type="dxa" w:w="135"/>
              <w:bottom w:type="dxa" w:w="0"/>
              <w:right w:type="dxa" w:w="135"/>
            </w:tcMar>
            <w:vAlign w:val="top"/>
          </w:tcPr>
          <w:p>
            <w:pPr>
              <w:pStyle w:val="null3"/>
              <w:jc w:val="center"/>
            </w:pPr>
            <w:r>
              <w:rPr>
                <w:rFonts w:ascii="仿宋" w:hAnsi="仿宋" w:cs="仿宋" w:eastAsia="仿宋"/>
                <w:sz w:val="24"/>
                <w:b/>
              </w:rPr>
              <w:t>专家响应时限</w:t>
            </w:r>
          </w:p>
        </w:tc>
      </w:tr>
      <w:tr>
        <w:tc>
          <w:tcPr>
            <w:tcW w:type="dxa" w:w="1661"/>
            <w:tcBorders>
              <w:top w:val="none" w:color="000000" w:sz="4"/>
              <w:left w:val="outset" w:color="000000" w:sz="4"/>
              <w:bottom w:val="outset" w:color="000000" w:sz="4"/>
              <w:right w:val="outset" w:color="000000" w:sz="4"/>
            </w:tcBorders>
            <w:shd w:fill="FFFFFF"/>
            <w:tcMar>
              <w:top w:type="dxa" w:w="0"/>
              <w:left w:type="dxa" w:w="135"/>
              <w:bottom w:type="dxa" w:w="0"/>
              <w:right w:type="dxa" w:w="135"/>
            </w:tcMar>
            <w:vAlign w:val="top"/>
          </w:tcPr>
          <w:p>
            <w:pPr>
              <w:pStyle w:val="null3"/>
              <w:jc w:val="both"/>
            </w:pPr>
            <w:r>
              <w:rPr>
                <w:rFonts w:ascii="仿宋" w:hAnsi="仿宋" w:cs="仿宋" w:eastAsia="仿宋"/>
                <w:sz w:val="24"/>
              </w:rPr>
              <w:t>紧急</w:t>
            </w:r>
          </w:p>
        </w:tc>
        <w:tc>
          <w:tcPr>
            <w:tcW w:type="dxa" w:w="1661"/>
            <w:tcBorders>
              <w:top w:val="none" w:color="000000" w:sz="4"/>
              <w:left w:val="none" w:color="000000" w:sz="4"/>
              <w:bottom w:val="outset" w:color="000000" w:sz="4"/>
              <w:right w:val="outset" w:color="000000" w:sz="4"/>
            </w:tcBorders>
            <w:shd w:fill="FFFFFF"/>
            <w:tcMar>
              <w:top w:type="dxa" w:w="0"/>
              <w:left w:type="dxa" w:w="135"/>
              <w:bottom w:type="dxa" w:w="0"/>
              <w:right w:type="dxa" w:w="135"/>
            </w:tcMar>
            <w:vAlign w:val="top"/>
          </w:tcPr>
          <w:p>
            <w:pPr>
              <w:pStyle w:val="null3"/>
              <w:jc w:val="both"/>
            </w:pPr>
            <w:r>
              <w:rPr>
                <w:rFonts w:ascii="仿宋" w:hAnsi="仿宋" w:cs="仿宋" w:eastAsia="仿宋"/>
                <w:sz w:val="24"/>
              </w:rPr>
              <w:t>网站被篡改或被攻击，网站被仿冒；某个业务全部瘫痪，重要数据丢失或被篡改，核心网络流量严重异常或瘫痪等。</w:t>
            </w:r>
          </w:p>
        </w:tc>
        <w:tc>
          <w:tcPr>
            <w:tcW w:type="dxa" w:w="1661"/>
            <w:tcBorders>
              <w:top w:val="none" w:color="000000" w:sz="4"/>
              <w:left w:val="none" w:color="000000" w:sz="4"/>
              <w:bottom w:val="outset" w:color="000000" w:sz="4"/>
              <w:right w:val="outset" w:color="000000" w:sz="4"/>
            </w:tcBorders>
            <w:shd w:fill="FFFFFF"/>
            <w:tcMar>
              <w:top w:type="dxa" w:w="0"/>
              <w:left w:type="dxa" w:w="135"/>
              <w:bottom w:type="dxa" w:w="0"/>
              <w:right w:type="dxa" w:w="135"/>
            </w:tcMar>
            <w:vAlign w:val="top"/>
          </w:tcPr>
          <w:p>
            <w:pPr>
              <w:pStyle w:val="null3"/>
              <w:jc w:val="both"/>
            </w:pPr>
            <w:r>
              <w:rPr>
                <w:rFonts w:ascii="仿宋" w:hAnsi="仿宋" w:cs="仿宋" w:eastAsia="仿宋"/>
                <w:sz w:val="24"/>
              </w:rPr>
              <w:t>15分钟</w:t>
            </w:r>
          </w:p>
        </w:tc>
        <w:tc>
          <w:tcPr>
            <w:tcW w:type="dxa" w:w="1661"/>
            <w:tcBorders>
              <w:top w:val="none" w:color="000000" w:sz="4"/>
              <w:left w:val="none" w:color="000000" w:sz="4"/>
              <w:bottom w:val="outset" w:color="000000" w:sz="4"/>
              <w:right w:val="outset" w:color="000000" w:sz="4"/>
            </w:tcBorders>
            <w:shd w:fill="FFFFFF"/>
            <w:tcMar>
              <w:top w:type="dxa" w:w="0"/>
              <w:left w:type="dxa" w:w="135"/>
              <w:bottom w:type="dxa" w:w="0"/>
              <w:right w:type="dxa" w:w="135"/>
            </w:tcMar>
            <w:vAlign w:val="top"/>
          </w:tcPr>
          <w:p>
            <w:pPr>
              <w:pStyle w:val="null3"/>
              <w:jc w:val="both"/>
            </w:pPr>
            <w:r>
              <w:rPr>
                <w:rFonts w:ascii="仿宋" w:hAnsi="仿宋" w:cs="仿宋" w:eastAsia="仿宋"/>
                <w:sz w:val="24"/>
              </w:rPr>
              <w:t>2小时</w:t>
            </w:r>
          </w:p>
        </w:tc>
        <w:tc>
          <w:tcPr>
            <w:tcW w:type="dxa" w:w="1661"/>
            <w:tcBorders>
              <w:top w:val="none" w:color="000000" w:sz="4"/>
              <w:left w:val="none" w:color="000000" w:sz="4"/>
              <w:bottom w:val="outset" w:color="000000" w:sz="4"/>
              <w:right w:val="outset" w:color="000000" w:sz="4"/>
            </w:tcBorders>
            <w:shd w:fill="FFFFFF"/>
            <w:tcMar>
              <w:top w:type="dxa" w:w="0"/>
              <w:left w:type="dxa" w:w="135"/>
              <w:bottom w:type="dxa" w:w="0"/>
              <w:right w:type="dxa" w:w="135"/>
            </w:tcMar>
            <w:vAlign w:val="top"/>
          </w:tcPr>
          <w:p>
            <w:pPr>
              <w:pStyle w:val="null3"/>
              <w:jc w:val="both"/>
            </w:pPr>
            <w:r>
              <w:rPr>
                <w:rFonts w:ascii="仿宋" w:hAnsi="仿宋" w:cs="仿宋" w:eastAsia="仿宋"/>
                <w:sz w:val="24"/>
              </w:rPr>
              <w:t>1小时</w:t>
            </w:r>
          </w:p>
        </w:tc>
      </w:tr>
      <w:tr>
        <w:tc>
          <w:tcPr>
            <w:tcW w:type="dxa" w:w="1661"/>
            <w:tcBorders>
              <w:top w:val="none" w:color="000000" w:sz="4"/>
              <w:left w:val="outset" w:color="000000" w:sz="4"/>
              <w:bottom w:val="outset" w:color="000000" w:sz="4"/>
              <w:right w:val="outset" w:color="000000" w:sz="4"/>
            </w:tcBorders>
            <w:shd w:fill="FFFFFF"/>
            <w:tcMar>
              <w:top w:type="dxa" w:w="0"/>
              <w:left w:type="dxa" w:w="135"/>
              <w:bottom w:type="dxa" w:w="0"/>
              <w:right w:type="dxa" w:w="135"/>
            </w:tcMar>
            <w:vAlign w:val="top"/>
          </w:tcPr>
          <w:p>
            <w:pPr>
              <w:pStyle w:val="null3"/>
              <w:jc w:val="both"/>
            </w:pPr>
            <w:r>
              <w:rPr>
                <w:rFonts w:ascii="仿宋" w:hAnsi="仿宋" w:cs="仿宋" w:eastAsia="仿宋"/>
                <w:sz w:val="24"/>
              </w:rPr>
              <w:t>严重</w:t>
            </w:r>
          </w:p>
        </w:tc>
        <w:tc>
          <w:tcPr>
            <w:tcW w:type="dxa" w:w="1661"/>
            <w:tcBorders>
              <w:top w:val="none" w:color="000000" w:sz="4"/>
              <w:left w:val="none" w:color="000000" w:sz="4"/>
              <w:bottom w:val="outset" w:color="000000" w:sz="4"/>
              <w:right w:val="outset" w:color="000000" w:sz="4"/>
            </w:tcBorders>
            <w:shd w:fill="FFFFFF"/>
            <w:tcMar>
              <w:top w:type="dxa" w:w="0"/>
              <w:left w:type="dxa" w:w="135"/>
              <w:bottom w:type="dxa" w:w="0"/>
              <w:right w:type="dxa" w:w="135"/>
            </w:tcMar>
            <w:vAlign w:val="top"/>
          </w:tcPr>
          <w:p>
            <w:pPr>
              <w:pStyle w:val="null3"/>
              <w:ind w:firstLine="480"/>
              <w:jc w:val="both"/>
            </w:pPr>
            <w:r>
              <w:rPr>
                <w:rFonts w:ascii="仿宋" w:hAnsi="仿宋" w:cs="仿宋" w:eastAsia="仿宋"/>
                <w:sz w:val="24"/>
              </w:rPr>
              <w:t>某个业务部分不可用，某个区域出现流量严重异常或瘫痪，安全设备硬件故障造成网络中断，网站访问速度严重变慢等。</w:t>
            </w:r>
          </w:p>
        </w:tc>
        <w:tc>
          <w:tcPr>
            <w:tcW w:type="dxa" w:w="1661"/>
            <w:tcBorders>
              <w:top w:val="none" w:color="000000" w:sz="4"/>
              <w:left w:val="none" w:color="000000" w:sz="4"/>
              <w:bottom w:val="outset" w:color="000000" w:sz="4"/>
              <w:right w:val="outset" w:color="000000" w:sz="4"/>
            </w:tcBorders>
            <w:shd w:fill="FFFFFF"/>
            <w:tcMar>
              <w:top w:type="dxa" w:w="0"/>
              <w:left w:type="dxa" w:w="135"/>
              <w:bottom w:type="dxa" w:w="0"/>
              <w:right w:type="dxa" w:w="135"/>
            </w:tcMar>
            <w:vAlign w:val="top"/>
          </w:tcPr>
          <w:p>
            <w:pPr>
              <w:pStyle w:val="null3"/>
              <w:jc w:val="both"/>
            </w:pPr>
            <w:r>
              <w:rPr>
                <w:rFonts w:ascii="仿宋" w:hAnsi="仿宋" w:cs="仿宋" w:eastAsia="仿宋"/>
                <w:sz w:val="24"/>
              </w:rPr>
              <w:t>15分钟</w:t>
            </w:r>
          </w:p>
        </w:tc>
        <w:tc>
          <w:tcPr>
            <w:tcW w:type="dxa" w:w="1661"/>
            <w:tcBorders>
              <w:top w:val="none" w:color="000000" w:sz="4"/>
              <w:left w:val="none" w:color="000000" w:sz="4"/>
              <w:bottom w:val="outset" w:color="000000" w:sz="4"/>
              <w:right w:val="outset" w:color="000000" w:sz="4"/>
            </w:tcBorders>
            <w:shd w:fill="FFFFFF"/>
            <w:tcMar>
              <w:top w:type="dxa" w:w="0"/>
              <w:left w:type="dxa" w:w="135"/>
              <w:bottom w:type="dxa" w:w="0"/>
              <w:right w:type="dxa" w:w="135"/>
            </w:tcMar>
            <w:vAlign w:val="top"/>
          </w:tcPr>
          <w:p>
            <w:pPr>
              <w:pStyle w:val="null3"/>
              <w:jc w:val="both"/>
            </w:pPr>
            <w:r>
              <w:rPr>
                <w:rFonts w:ascii="仿宋" w:hAnsi="仿宋" w:cs="仿宋" w:eastAsia="仿宋"/>
                <w:sz w:val="24"/>
              </w:rPr>
              <w:t>4小时</w:t>
            </w:r>
          </w:p>
        </w:tc>
        <w:tc>
          <w:tcPr>
            <w:tcW w:type="dxa" w:w="1661"/>
            <w:tcBorders>
              <w:top w:val="none" w:color="000000" w:sz="4"/>
              <w:left w:val="none" w:color="000000" w:sz="4"/>
              <w:bottom w:val="outset" w:color="000000" w:sz="4"/>
              <w:right w:val="outset" w:color="000000" w:sz="4"/>
            </w:tcBorders>
            <w:shd w:fill="FFFFFF"/>
            <w:tcMar>
              <w:top w:type="dxa" w:w="0"/>
              <w:left w:type="dxa" w:w="135"/>
              <w:bottom w:type="dxa" w:w="0"/>
              <w:right w:type="dxa" w:w="135"/>
            </w:tcMar>
            <w:vAlign w:val="top"/>
          </w:tcPr>
          <w:p>
            <w:pPr>
              <w:pStyle w:val="null3"/>
              <w:jc w:val="both"/>
            </w:pPr>
            <w:r>
              <w:rPr>
                <w:rFonts w:ascii="仿宋" w:hAnsi="仿宋" w:cs="仿宋" w:eastAsia="仿宋"/>
                <w:sz w:val="24"/>
              </w:rPr>
              <w:t>2小时</w:t>
            </w:r>
          </w:p>
        </w:tc>
      </w:tr>
      <w:tr>
        <w:tc>
          <w:tcPr>
            <w:tcW w:type="dxa" w:w="1661"/>
            <w:tcBorders>
              <w:top w:val="none" w:color="000000" w:sz="4"/>
              <w:left w:val="outset" w:color="000000" w:sz="4"/>
              <w:bottom w:val="outset" w:color="000000" w:sz="4"/>
              <w:right w:val="outset" w:color="000000" w:sz="4"/>
            </w:tcBorders>
            <w:shd w:fill="FFFFFF"/>
            <w:tcMar>
              <w:top w:type="dxa" w:w="0"/>
              <w:left w:type="dxa" w:w="135"/>
              <w:bottom w:type="dxa" w:w="0"/>
              <w:right w:type="dxa" w:w="135"/>
            </w:tcMar>
            <w:vAlign w:val="top"/>
          </w:tcPr>
          <w:p>
            <w:pPr>
              <w:pStyle w:val="null3"/>
              <w:jc w:val="both"/>
            </w:pPr>
            <w:r>
              <w:rPr>
                <w:rFonts w:ascii="仿宋" w:hAnsi="仿宋" w:cs="仿宋" w:eastAsia="仿宋"/>
                <w:sz w:val="24"/>
              </w:rPr>
              <w:t>一般</w:t>
            </w:r>
          </w:p>
        </w:tc>
        <w:tc>
          <w:tcPr>
            <w:tcW w:type="dxa" w:w="1661"/>
            <w:tcBorders>
              <w:top w:val="none" w:color="000000" w:sz="4"/>
              <w:left w:val="none" w:color="000000" w:sz="4"/>
              <w:bottom w:val="outset" w:color="000000" w:sz="4"/>
              <w:right w:val="outset" w:color="000000" w:sz="4"/>
            </w:tcBorders>
            <w:shd w:fill="FFFFFF"/>
            <w:tcMar>
              <w:top w:type="dxa" w:w="0"/>
              <w:left w:type="dxa" w:w="135"/>
              <w:bottom w:type="dxa" w:w="0"/>
              <w:right w:type="dxa" w:w="135"/>
            </w:tcMar>
            <w:vAlign w:val="top"/>
          </w:tcPr>
          <w:p>
            <w:pPr>
              <w:pStyle w:val="null3"/>
              <w:ind w:firstLine="480"/>
              <w:jc w:val="both"/>
            </w:pPr>
            <w:r>
              <w:rPr>
                <w:rFonts w:ascii="仿宋" w:hAnsi="仿宋" w:cs="仿宋" w:eastAsia="仿宋"/>
                <w:sz w:val="24"/>
              </w:rPr>
              <w:t>业务使用存在异常，某个区域出现流量异常，发现安全漏洞隐患未进行修补的，病毒事件以及其他一般事件。</w:t>
            </w:r>
          </w:p>
        </w:tc>
        <w:tc>
          <w:tcPr>
            <w:tcW w:type="dxa" w:w="1661"/>
            <w:tcBorders>
              <w:top w:val="none" w:color="000000" w:sz="4"/>
              <w:left w:val="none" w:color="000000" w:sz="4"/>
              <w:bottom w:val="outset" w:color="000000" w:sz="4"/>
              <w:right w:val="outset" w:color="000000" w:sz="4"/>
            </w:tcBorders>
            <w:shd w:fill="FFFFFF"/>
            <w:tcMar>
              <w:top w:type="dxa" w:w="0"/>
              <w:left w:type="dxa" w:w="135"/>
              <w:bottom w:type="dxa" w:w="0"/>
              <w:right w:type="dxa" w:w="135"/>
            </w:tcMar>
            <w:vAlign w:val="top"/>
          </w:tcPr>
          <w:p>
            <w:pPr>
              <w:pStyle w:val="null3"/>
              <w:jc w:val="both"/>
            </w:pPr>
            <w:r>
              <w:rPr>
                <w:rFonts w:ascii="仿宋" w:hAnsi="仿宋" w:cs="仿宋" w:eastAsia="仿宋"/>
                <w:sz w:val="24"/>
              </w:rPr>
              <w:t>30分钟</w:t>
            </w:r>
          </w:p>
        </w:tc>
        <w:tc>
          <w:tcPr>
            <w:tcW w:type="dxa" w:w="1661"/>
            <w:tcBorders>
              <w:top w:val="none" w:color="000000" w:sz="4"/>
              <w:left w:val="none" w:color="000000" w:sz="4"/>
              <w:bottom w:val="outset" w:color="000000" w:sz="4"/>
              <w:right w:val="outset" w:color="000000" w:sz="4"/>
            </w:tcBorders>
            <w:shd w:fill="FFFFFF"/>
            <w:tcMar>
              <w:top w:type="dxa" w:w="0"/>
              <w:left w:type="dxa" w:w="135"/>
              <w:bottom w:type="dxa" w:w="0"/>
              <w:right w:type="dxa" w:w="135"/>
            </w:tcMar>
            <w:vAlign w:val="top"/>
          </w:tcPr>
          <w:p>
            <w:pPr>
              <w:pStyle w:val="null3"/>
              <w:jc w:val="both"/>
            </w:pPr>
            <w:r>
              <w:rPr>
                <w:rFonts w:ascii="仿宋" w:hAnsi="仿宋" w:cs="仿宋" w:eastAsia="仿宋"/>
                <w:sz w:val="24"/>
              </w:rPr>
              <w:t>6小时</w:t>
            </w:r>
          </w:p>
        </w:tc>
        <w:tc>
          <w:tcPr>
            <w:tcW w:type="dxa" w:w="1661"/>
            <w:tcBorders>
              <w:top w:val="none" w:color="000000" w:sz="4"/>
              <w:left w:val="none" w:color="000000" w:sz="4"/>
              <w:bottom w:val="outset" w:color="000000" w:sz="4"/>
              <w:right w:val="outset" w:color="000000" w:sz="4"/>
            </w:tcBorders>
            <w:shd w:fill="FFFFFF"/>
            <w:tcMar>
              <w:top w:type="dxa" w:w="0"/>
              <w:left w:type="dxa" w:w="135"/>
              <w:bottom w:type="dxa" w:w="0"/>
              <w:right w:type="dxa" w:w="135"/>
            </w:tcMar>
            <w:vAlign w:val="top"/>
          </w:tcPr>
          <w:p>
            <w:pPr>
              <w:pStyle w:val="null3"/>
              <w:jc w:val="both"/>
            </w:pPr>
            <w:r>
              <w:rPr>
                <w:rFonts w:ascii="仿宋" w:hAnsi="仿宋" w:cs="仿宋" w:eastAsia="仿宋"/>
                <w:sz w:val="24"/>
              </w:rPr>
              <w:t>4小时</w:t>
            </w:r>
          </w:p>
        </w:tc>
      </w:tr>
    </w:tbl>
    <w:p>
      <w:pPr>
        <w:pStyle w:val="null3"/>
        <w:ind w:firstLine="480"/>
        <w:jc w:val="both"/>
      </w:pPr>
      <w:r>
        <w:rPr>
          <w:rFonts w:ascii="仿宋" w:hAnsi="仿宋" w:cs="仿宋" w:eastAsia="仿宋"/>
          <w:sz w:val="24"/>
        </w:rPr>
        <w:t>2）安全故障解决</w:t>
      </w:r>
    </w:p>
    <w:p>
      <w:pPr>
        <w:pStyle w:val="null3"/>
        <w:ind w:right="45" w:firstLine="480"/>
        <w:jc w:val="left"/>
      </w:pPr>
      <w:r>
        <w:rPr>
          <w:rFonts w:ascii="仿宋" w:hAnsi="仿宋" w:cs="仿宋" w:eastAsia="仿宋"/>
          <w:sz w:val="24"/>
        </w:rPr>
        <w:t>安全故障解决遵循以下流程：</w:t>
      </w:r>
    </w:p>
    <w:p>
      <w:pPr>
        <w:pStyle w:val="null3"/>
        <w:ind w:right="45" w:firstLine="480"/>
        <w:jc w:val="left"/>
      </w:pPr>
      <w:r>
        <w:rPr>
          <w:rFonts w:ascii="仿宋" w:hAnsi="仿宋" w:cs="仿宋" w:eastAsia="仿宋"/>
          <w:sz w:val="24"/>
        </w:rPr>
        <w:t>故障诊断，对故障情况作诊断，记录，分析；</w:t>
      </w:r>
    </w:p>
    <w:p>
      <w:pPr>
        <w:pStyle w:val="null3"/>
        <w:ind w:right="45" w:firstLine="480"/>
        <w:jc w:val="left"/>
      </w:pPr>
      <w:r>
        <w:rPr>
          <w:rFonts w:ascii="仿宋" w:hAnsi="仿宋" w:cs="仿宋" w:eastAsia="仿宋"/>
          <w:sz w:val="24"/>
        </w:rPr>
        <w:t>故障修复，尽可能减少中心安全故障造成的损失，修复系统；</w:t>
      </w:r>
    </w:p>
    <w:p>
      <w:pPr>
        <w:pStyle w:val="null3"/>
        <w:ind w:right="45" w:firstLine="480"/>
        <w:jc w:val="left"/>
      </w:pPr>
      <w:r>
        <w:rPr>
          <w:rFonts w:ascii="仿宋" w:hAnsi="仿宋" w:cs="仿宋" w:eastAsia="仿宋"/>
          <w:sz w:val="24"/>
        </w:rPr>
        <w:t>系统清理，对安全故障发生的系统作系统完整性审计、系统安全检查、清理；</w:t>
      </w:r>
    </w:p>
    <w:p>
      <w:pPr>
        <w:pStyle w:val="null3"/>
        <w:ind w:right="45" w:firstLine="480"/>
        <w:jc w:val="left"/>
      </w:pPr>
      <w:r>
        <w:rPr>
          <w:rFonts w:ascii="仿宋" w:hAnsi="仿宋" w:cs="仿宋" w:eastAsia="仿宋"/>
          <w:sz w:val="24"/>
        </w:rPr>
        <w:t>系统防护，对安全故障发生过的信息系统增加、加强安全保护措施；</w:t>
      </w:r>
    </w:p>
    <w:p>
      <w:pPr>
        <w:pStyle w:val="null3"/>
        <w:ind w:right="45" w:firstLine="480"/>
        <w:jc w:val="left"/>
      </w:pPr>
      <w:r>
        <w:rPr>
          <w:rFonts w:ascii="仿宋" w:hAnsi="仿宋" w:cs="仿宋" w:eastAsia="仿宋"/>
          <w:sz w:val="24"/>
        </w:rPr>
        <w:t>证据收集，对由于安全故障造成的入侵记录、破坏情况、直接损失情况收集证据。</w:t>
      </w:r>
    </w:p>
    <w:p>
      <w:pPr>
        <w:pStyle w:val="null3"/>
        <w:ind w:firstLine="482"/>
        <w:jc w:val="both"/>
      </w:pPr>
      <w:r>
        <w:rPr>
          <w:rFonts w:ascii="仿宋" w:hAnsi="仿宋" w:cs="仿宋" w:eastAsia="仿宋"/>
          <w:sz w:val="24"/>
          <w:b/>
        </w:rPr>
        <w:t>【指标</w:t>
      </w:r>
      <w:r>
        <w:rPr>
          <w:rFonts w:ascii="仿宋" w:hAnsi="仿宋" w:cs="仿宋" w:eastAsia="仿宋"/>
          <w:sz w:val="24"/>
          <w:b/>
        </w:rPr>
        <w:t>34】3.2.20专题保障服务</w:t>
      </w:r>
    </w:p>
    <w:p>
      <w:pPr>
        <w:pStyle w:val="null3"/>
        <w:ind w:right="45" w:firstLine="480"/>
        <w:jc w:val="left"/>
      </w:pPr>
      <w:r>
        <w:rPr>
          <w:rFonts w:ascii="仿宋" w:hAnsi="仿宋" w:cs="仿宋" w:eastAsia="仿宋"/>
          <w:sz w:val="24"/>
        </w:rPr>
        <w:t>主要为全国两会、国庆、国际重大会议等重大活动提供的特殊保障服务或配合上级安全检查工作。驻场要求：驻场期间，需</w:t>
      </w:r>
      <w:r>
        <w:rPr>
          <w:rFonts w:ascii="仿宋" w:hAnsi="仿宋" w:cs="仿宋" w:eastAsia="仿宋"/>
          <w:sz w:val="24"/>
        </w:rPr>
        <w:t>7*24小时驻守所在城市。全天应保持手机开机，并接到突发事件电话后应半小时内赶到现场。</w:t>
      </w:r>
    </w:p>
    <w:p>
      <w:pPr>
        <w:pStyle w:val="null3"/>
        <w:ind w:right="45" w:firstLine="480"/>
        <w:jc w:val="left"/>
      </w:pPr>
      <w:r>
        <w:rPr>
          <w:rFonts w:ascii="仿宋" w:hAnsi="仿宋" w:cs="仿宋" w:eastAsia="仿宋"/>
          <w:sz w:val="24"/>
        </w:rPr>
        <w:t>驻场期间工作内容：覆盖日常防病毒软件更新查看、病毒查杀、补丁升级维护、网络流量监控、入侵情况分析、安全事件管理、告警日志分析等；</w:t>
      </w:r>
    </w:p>
    <w:p>
      <w:pPr>
        <w:pStyle w:val="null3"/>
        <w:ind w:right="45" w:firstLine="480"/>
        <w:jc w:val="left"/>
      </w:pPr>
      <w:r>
        <w:rPr>
          <w:rFonts w:ascii="仿宋" w:hAnsi="仿宋" w:cs="仿宋" w:eastAsia="仿宋"/>
          <w:sz w:val="24"/>
        </w:rPr>
        <w:t>1）服务内容</w:t>
      </w:r>
    </w:p>
    <w:p>
      <w:pPr>
        <w:pStyle w:val="null3"/>
        <w:ind w:right="45" w:firstLine="480"/>
        <w:jc w:val="left"/>
      </w:pPr>
      <w:r>
        <w:rPr>
          <w:rFonts w:ascii="仿宋" w:hAnsi="仿宋" w:cs="仿宋" w:eastAsia="仿宋"/>
          <w:sz w:val="24"/>
        </w:rPr>
        <w:t>驻场服务的内容主要包括安全设备监控、安全巡检、安全日志分析、应急处置四项主要内容：</w:t>
      </w:r>
    </w:p>
    <w:p>
      <w:pPr>
        <w:pStyle w:val="null3"/>
        <w:ind w:right="45" w:firstLine="480"/>
        <w:jc w:val="left"/>
      </w:pPr>
      <w:r>
        <w:rPr>
          <w:rFonts w:ascii="仿宋" w:hAnsi="仿宋" w:cs="仿宋" w:eastAsia="仿宋"/>
          <w:sz w:val="24"/>
        </w:rPr>
        <w:t>安全设备监控：对安全设备运行进行监控和维护；</w:t>
      </w:r>
    </w:p>
    <w:p>
      <w:pPr>
        <w:pStyle w:val="null3"/>
        <w:ind w:right="45" w:firstLine="480"/>
        <w:jc w:val="left"/>
      </w:pPr>
      <w:r>
        <w:rPr>
          <w:rFonts w:ascii="仿宋" w:hAnsi="仿宋" w:cs="仿宋" w:eastAsia="仿宋"/>
          <w:sz w:val="24"/>
        </w:rPr>
        <w:t>安全巡检：对安全设备进行健康状态检查，包括系统引擎、</w:t>
      </w:r>
      <w:r>
        <w:rPr>
          <w:rFonts w:ascii="仿宋" w:hAnsi="仿宋" w:cs="仿宋" w:eastAsia="仿宋"/>
          <w:sz w:val="24"/>
        </w:rPr>
        <w:t>CPU占用率、内存占用率、接口状态、证书授权状态等内容；</w:t>
      </w:r>
    </w:p>
    <w:p>
      <w:pPr>
        <w:pStyle w:val="null3"/>
        <w:ind w:right="45" w:firstLine="480"/>
        <w:jc w:val="left"/>
      </w:pPr>
      <w:r>
        <w:rPr>
          <w:rFonts w:ascii="仿宋" w:hAnsi="仿宋" w:cs="仿宋" w:eastAsia="仿宋"/>
          <w:sz w:val="24"/>
        </w:rPr>
        <w:t>安全日志分析：对安全设备产生的高、中风险告警事件进行分析，包括事件类型分布、事件发展趋势、事件频率、源地址、目的地址等内容；</w:t>
      </w:r>
    </w:p>
    <w:p>
      <w:pPr>
        <w:pStyle w:val="null3"/>
        <w:ind w:right="45" w:firstLine="480"/>
        <w:jc w:val="left"/>
      </w:pPr>
      <w:r>
        <w:rPr>
          <w:rFonts w:ascii="仿宋" w:hAnsi="仿宋" w:cs="仿宋" w:eastAsia="仿宋"/>
          <w:sz w:val="24"/>
        </w:rPr>
        <w:t>应急处置：对突发安全事件进行应急响应，阻止安全事件影响扩大，查找安全事件产生原因。</w:t>
      </w:r>
    </w:p>
    <w:p>
      <w:pPr>
        <w:pStyle w:val="null3"/>
        <w:ind w:right="45" w:firstLine="480"/>
        <w:jc w:val="left"/>
      </w:pPr>
      <w:r>
        <w:rPr>
          <w:rFonts w:ascii="仿宋" w:hAnsi="仿宋" w:cs="仿宋" w:eastAsia="仿宋"/>
          <w:sz w:val="24"/>
        </w:rPr>
        <w:t>2）服务对象</w:t>
      </w:r>
    </w:p>
    <w:p>
      <w:pPr>
        <w:pStyle w:val="null3"/>
        <w:ind w:right="45" w:firstLine="480"/>
        <w:jc w:val="left"/>
      </w:pPr>
      <w:r>
        <w:rPr>
          <w:rFonts w:ascii="仿宋" w:hAnsi="仿宋" w:cs="仿宋" w:eastAsia="仿宋"/>
          <w:sz w:val="24"/>
        </w:rPr>
        <w:t>服务主要针对如下互联网区安全设备，包括防火墙（</w:t>
      </w:r>
      <w:r>
        <w:rPr>
          <w:rFonts w:ascii="仿宋" w:hAnsi="仿宋" w:cs="仿宋" w:eastAsia="仿宋"/>
          <w:sz w:val="24"/>
        </w:rPr>
        <w:t>FW）、入侵检测/入侵防护系统（IDS/IPS）、上网行为管理系统、网络防病毒网关等。</w:t>
      </w:r>
    </w:p>
    <w:p>
      <w:pPr>
        <w:pStyle w:val="null3"/>
        <w:ind w:right="45" w:firstLine="480"/>
        <w:jc w:val="left"/>
      </w:pPr>
      <w:r>
        <w:rPr>
          <w:rFonts w:ascii="仿宋" w:hAnsi="仿宋" w:cs="仿宋" w:eastAsia="仿宋"/>
          <w:sz w:val="24"/>
        </w:rPr>
        <w:t>3）服务方式</w:t>
      </w:r>
    </w:p>
    <w:p>
      <w:pPr>
        <w:pStyle w:val="null3"/>
        <w:ind w:right="45" w:firstLine="480"/>
        <w:jc w:val="left"/>
      </w:pPr>
      <w:r>
        <w:rPr>
          <w:rFonts w:ascii="仿宋" w:hAnsi="仿宋" w:cs="仿宋" w:eastAsia="仿宋"/>
          <w:sz w:val="24"/>
        </w:rPr>
        <w:t>发生突发事件，在客户提出现场驻场需求后，在客户指定时间、地点进行现场驻场。</w:t>
      </w:r>
    </w:p>
    <w:p>
      <w:pPr>
        <w:pStyle w:val="null3"/>
        <w:ind w:firstLine="482"/>
        <w:jc w:val="both"/>
      </w:pPr>
      <w:r>
        <w:rPr>
          <w:rFonts w:ascii="仿宋" w:hAnsi="仿宋" w:cs="仿宋" w:eastAsia="仿宋"/>
          <w:sz w:val="24"/>
          <w:b/>
        </w:rPr>
        <w:t>【指标</w:t>
      </w:r>
      <w:r>
        <w:rPr>
          <w:rFonts w:ascii="仿宋" w:hAnsi="仿宋" w:cs="仿宋" w:eastAsia="仿宋"/>
          <w:sz w:val="24"/>
          <w:b/>
        </w:rPr>
        <w:t>35】3.2.21检查支撑服务</w:t>
      </w:r>
    </w:p>
    <w:p>
      <w:pPr>
        <w:pStyle w:val="null3"/>
        <w:ind w:firstLine="480"/>
        <w:jc w:val="both"/>
      </w:pPr>
      <w:r>
        <w:rPr>
          <w:rFonts w:ascii="仿宋" w:hAnsi="仿宋" w:cs="仿宋" w:eastAsia="仿宋"/>
          <w:sz w:val="24"/>
        </w:rPr>
        <w:t>在服务期间，针对中心收到的上级部门或者监管单位下发网络安全有关通知或者文件要求时，安排工程师通过现场或者远程的方式，配合提供相关的支撑服务，并按照文件及业主要求提供相关材料。</w:t>
      </w:r>
    </w:p>
    <w:p>
      <w:pPr>
        <w:pStyle w:val="null3"/>
        <w:ind w:firstLine="482"/>
        <w:jc w:val="both"/>
      </w:pPr>
      <w:r>
        <w:rPr>
          <w:rFonts w:ascii="仿宋" w:hAnsi="仿宋" w:cs="仿宋" w:eastAsia="仿宋"/>
          <w:sz w:val="24"/>
          <w:b/>
        </w:rPr>
        <w:t>【指标</w:t>
      </w:r>
      <w:r>
        <w:rPr>
          <w:rFonts w:ascii="仿宋" w:hAnsi="仿宋" w:cs="仿宋" w:eastAsia="仿宋"/>
          <w:sz w:val="24"/>
          <w:b/>
        </w:rPr>
        <w:t>36】3.2.22实战演练服务</w:t>
      </w:r>
    </w:p>
    <w:p>
      <w:pPr>
        <w:pStyle w:val="null3"/>
        <w:ind w:firstLine="480"/>
        <w:jc w:val="both"/>
      </w:pPr>
      <w:r>
        <w:rPr>
          <w:rFonts w:ascii="仿宋" w:hAnsi="仿宋" w:cs="仿宋" w:eastAsia="仿宋"/>
          <w:sz w:val="24"/>
        </w:rPr>
        <w:t>在服务期内协助中心开展一次全省治超监测监控指挥中心平台软件等系统的实战演练服务。</w:t>
      </w:r>
    </w:p>
    <w:p>
      <w:pPr>
        <w:pStyle w:val="null3"/>
        <w:ind w:firstLine="480"/>
        <w:jc w:val="both"/>
      </w:pPr>
      <w:r>
        <w:rPr>
          <w:rFonts w:ascii="仿宋" w:hAnsi="仿宋" w:cs="仿宋" w:eastAsia="仿宋"/>
          <w:sz w:val="24"/>
        </w:rPr>
        <w:t>实战演练旨在提高全省治超监测监控指挥中心平台软件等系统监测预警、安全防护、应急处置能力，建立健全全省治超监测监控指挥中心网络安全应急处突工作体系，确保各单位能够在第一时间发现攻击威胁、第一时间发出预警信息、第一时间作出快速反应、第一时间组织应急处置。</w:t>
      </w:r>
    </w:p>
    <w:p>
      <w:pPr>
        <w:pStyle w:val="null3"/>
        <w:ind w:firstLine="480"/>
        <w:jc w:val="both"/>
      </w:pPr>
      <w:r>
        <w:rPr>
          <w:rFonts w:ascii="仿宋" w:hAnsi="仿宋" w:cs="仿宋" w:eastAsia="仿宋"/>
          <w:sz w:val="24"/>
        </w:rPr>
        <w:t>1、检验网络安全建设成果。通过实战演练检验各相关单位网络安全管理制度、技术、人员等方面建设成果的有效性。</w:t>
      </w:r>
    </w:p>
    <w:p>
      <w:pPr>
        <w:pStyle w:val="null3"/>
        <w:ind w:firstLine="480"/>
        <w:jc w:val="both"/>
      </w:pPr>
      <w:r>
        <w:rPr>
          <w:rFonts w:ascii="仿宋" w:hAnsi="仿宋" w:cs="仿宋" w:eastAsia="仿宋"/>
          <w:sz w:val="24"/>
        </w:rPr>
        <w:t>2、发现深层次网络安全隐患。通过真实环境的实战演练，模拟真实攻击者，在最大程度上发现安全防护建设中存在网络安全隐患问题，推动后续网络安全建设工作。</w:t>
      </w:r>
    </w:p>
    <w:p>
      <w:pPr>
        <w:pStyle w:val="null3"/>
        <w:ind w:firstLine="480"/>
        <w:jc w:val="both"/>
      </w:pPr>
      <w:r>
        <w:rPr>
          <w:rFonts w:ascii="仿宋" w:hAnsi="仿宋" w:cs="仿宋" w:eastAsia="仿宋"/>
          <w:sz w:val="24"/>
        </w:rPr>
        <w:t>3、进一步提升人员安全意识。通过实战演练，管理与技术人员学习了解网络攻击相关知识，进一步熟悉本单位应急预案措施，增强网络安全意识。</w:t>
      </w:r>
    </w:p>
    <w:p>
      <w:pPr>
        <w:pStyle w:val="null3"/>
        <w:ind w:firstLine="482"/>
        <w:jc w:val="both"/>
      </w:pPr>
      <w:r>
        <w:rPr>
          <w:rFonts w:ascii="仿宋" w:hAnsi="仿宋" w:cs="仿宋" w:eastAsia="仿宋"/>
          <w:sz w:val="24"/>
          <w:b/>
        </w:rPr>
        <w:t>3.2.23终端防护服务</w:t>
      </w:r>
    </w:p>
    <w:p>
      <w:pPr>
        <w:pStyle w:val="null3"/>
        <w:ind w:firstLine="480"/>
        <w:jc w:val="both"/>
      </w:pPr>
      <w:r>
        <w:rPr>
          <w:rFonts w:ascii="仿宋" w:hAnsi="仿宋" w:cs="仿宋" w:eastAsia="仿宋"/>
          <w:sz w:val="24"/>
        </w:rPr>
        <w:t>在服务期内为中心提供终端安全防护服务，提升日常办公终端的安全。</w:t>
      </w:r>
    </w:p>
    <w:p>
      <w:pPr>
        <w:pStyle w:val="null3"/>
        <w:ind w:firstLine="480"/>
        <w:jc w:val="both"/>
      </w:pPr>
      <w:r>
        <w:rPr>
          <w:rFonts w:ascii="仿宋" w:hAnsi="仿宋" w:cs="仿宋" w:eastAsia="仿宋"/>
          <w:sz w:val="24"/>
        </w:rPr>
        <w:t>中心目前拥有需要提供终端安全防护服务的国产操作系统约</w:t>
      </w:r>
      <w:r>
        <w:rPr>
          <w:rFonts w:ascii="仿宋" w:hAnsi="仿宋" w:cs="仿宋" w:eastAsia="仿宋"/>
          <w:sz w:val="24"/>
        </w:rPr>
        <w:t>70台，为方便进行终端的统一管理，服务商在服务期间需要提供一套涵盖病毒查杀、漏洞防护、主动防御等一体的杀毒软件，用于日常终端安全防护。为保障防护质量，服务商提供的防护系统需要支持以下条件：</w:t>
      </w:r>
    </w:p>
    <w:p>
      <w:pPr>
        <w:pStyle w:val="null3"/>
        <w:ind w:firstLine="480"/>
        <w:jc w:val="both"/>
      </w:pPr>
      <w:r>
        <w:rPr>
          <w:rFonts w:ascii="仿宋" w:hAnsi="仿宋" w:cs="仿宋" w:eastAsia="仿宋"/>
          <w:sz w:val="24"/>
          <w:b/>
        </w:rPr>
        <w:t>【指标</w:t>
      </w:r>
      <w:r>
        <w:rPr>
          <w:rFonts w:ascii="仿宋" w:hAnsi="仿宋" w:cs="仿宋" w:eastAsia="仿宋"/>
          <w:sz w:val="24"/>
          <w:b/>
        </w:rPr>
        <w:t>37】</w:t>
      </w:r>
      <w:r>
        <w:rPr>
          <w:rFonts w:ascii="仿宋" w:hAnsi="仿宋" w:cs="仿宋" w:eastAsia="仿宋"/>
          <w:sz w:val="24"/>
        </w:rPr>
        <w:t>1、支持操作系统包含：Windows Server 2008/Windows Server 2012/Windows Server 2016/Windows Server 2019。</w:t>
      </w:r>
    </w:p>
    <w:p>
      <w:pPr>
        <w:pStyle w:val="null3"/>
        <w:ind w:firstLine="480"/>
        <w:jc w:val="both"/>
      </w:pPr>
      <w:r>
        <w:rPr>
          <w:rFonts w:ascii="仿宋" w:hAnsi="仿宋" w:cs="仿宋" w:eastAsia="仿宋"/>
          <w:sz w:val="24"/>
          <w:b/>
        </w:rPr>
        <w:t>【指</w:t>
      </w:r>
      <w:r>
        <w:rPr>
          <w:rFonts w:ascii="仿宋" w:hAnsi="仿宋" w:cs="仿宋" w:eastAsia="仿宋"/>
          <w:sz w:val="24"/>
        </w:rPr>
        <w:t>标</w:t>
      </w:r>
      <w:r>
        <w:rPr>
          <w:rFonts w:ascii="仿宋" w:hAnsi="仿宋" w:cs="仿宋" w:eastAsia="仿宋"/>
          <w:sz w:val="24"/>
        </w:rPr>
        <w:t>38】</w:t>
      </w:r>
      <w:r>
        <w:rPr>
          <w:rFonts w:ascii="仿宋" w:hAnsi="仿宋" w:cs="仿宋" w:eastAsia="仿宋"/>
          <w:sz w:val="24"/>
        </w:rPr>
        <w:t>2、▲管理控制中心支持当登录账号输入密码错误次数超过锁定阈值后账号将被锁定，且可设置锁定时间，该时间内账号登录请求不被接受。同时应支持双因子认证登录方式，提高安全性。（须提供功能界面截图）</w:t>
      </w:r>
      <w:r>
        <w:rPr>
          <w:rFonts w:ascii="仿宋" w:hAnsi="仿宋" w:cs="仿宋" w:eastAsia="仿宋"/>
          <w:sz w:val="24"/>
        </w:rPr>
        <w:t>；</w:t>
      </w:r>
    </w:p>
    <w:p>
      <w:pPr>
        <w:pStyle w:val="null3"/>
        <w:ind w:firstLine="720"/>
        <w:jc w:val="both"/>
      </w:pPr>
      <w:r>
        <w:rPr>
          <w:rFonts w:ascii="仿宋" w:hAnsi="仿宋" w:cs="仿宋" w:eastAsia="仿宋"/>
          <w:sz w:val="24"/>
        </w:rPr>
        <w:t>支持终端密码保护功能，支持终端</w:t>
      </w:r>
      <w:r>
        <w:rPr>
          <w:rFonts w:ascii="仿宋" w:hAnsi="仿宋" w:cs="仿宋" w:eastAsia="仿宋"/>
          <w:sz w:val="24"/>
        </w:rPr>
        <w:t>“防退出”密码保护、“防卸载”密码保护、“防安装”密码保护。（须提供功能界面截图）</w:t>
      </w:r>
    </w:p>
    <w:p>
      <w:pPr>
        <w:pStyle w:val="null3"/>
        <w:ind w:firstLine="480"/>
        <w:jc w:val="both"/>
      </w:pPr>
      <w:r>
        <w:rPr>
          <w:rFonts w:ascii="仿宋" w:hAnsi="仿宋" w:cs="仿宋" w:eastAsia="仿宋"/>
          <w:sz w:val="24"/>
          <w:b/>
        </w:rPr>
        <w:t>【指标</w:t>
      </w:r>
      <w:r>
        <w:rPr>
          <w:rFonts w:ascii="仿宋" w:hAnsi="仿宋" w:cs="仿宋" w:eastAsia="仿宋"/>
          <w:sz w:val="24"/>
          <w:b/>
        </w:rPr>
        <w:t>39】</w:t>
      </w:r>
      <w:r>
        <w:rPr>
          <w:rFonts w:ascii="仿宋" w:hAnsi="仿宋" w:cs="仿宋" w:eastAsia="仿宋"/>
          <w:sz w:val="24"/>
        </w:rPr>
        <w:t>3、管理控制中心首页支持图形监测当前控制中心的CPU、内存、硬盘占用百分比。</w:t>
      </w:r>
    </w:p>
    <w:p>
      <w:pPr>
        <w:pStyle w:val="null3"/>
        <w:ind w:firstLine="480"/>
        <w:jc w:val="both"/>
      </w:pPr>
      <w:r>
        <w:rPr>
          <w:rFonts w:ascii="仿宋" w:hAnsi="仿宋" w:cs="仿宋" w:eastAsia="仿宋"/>
          <w:sz w:val="24"/>
          <w:b/>
        </w:rPr>
        <w:t>【指标</w:t>
      </w:r>
      <w:r>
        <w:rPr>
          <w:rFonts w:ascii="仿宋" w:hAnsi="仿宋" w:cs="仿宋" w:eastAsia="仿宋"/>
          <w:sz w:val="24"/>
          <w:b/>
        </w:rPr>
        <w:t>4</w:t>
      </w:r>
      <w:r>
        <w:rPr>
          <w:rFonts w:ascii="仿宋" w:hAnsi="仿宋" w:cs="仿宋" w:eastAsia="仿宋"/>
          <w:sz w:val="24"/>
          <w:b/>
        </w:rPr>
        <w:t>0</w:t>
      </w:r>
      <w:r>
        <w:rPr>
          <w:rFonts w:ascii="仿宋" w:hAnsi="仿宋" w:cs="仿宋" w:eastAsia="仿宋"/>
          <w:sz w:val="24"/>
          <w:b/>
        </w:rPr>
        <w:t>】</w:t>
      </w:r>
      <w:r>
        <w:rPr>
          <w:rFonts w:ascii="仿宋" w:hAnsi="仿宋" w:cs="仿宋" w:eastAsia="仿宋"/>
          <w:sz w:val="24"/>
        </w:rPr>
        <w:t>4</w:t>
      </w:r>
      <w:r>
        <w:rPr>
          <w:rFonts w:ascii="仿宋" w:hAnsi="仿宋" w:cs="仿宋" w:eastAsia="仿宋"/>
          <w:sz w:val="24"/>
        </w:rPr>
        <w:t>、支持展示病毒防护概况：终端基础信息、病毒库版本、发现病毒数、未处理病毒数、最后查杀时间、文件防护状态、引擎使用状态、扩展病毒库版本。</w:t>
      </w:r>
    </w:p>
    <w:p>
      <w:pPr>
        <w:pStyle w:val="null3"/>
        <w:ind w:firstLine="480"/>
        <w:jc w:val="both"/>
      </w:pPr>
      <w:r>
        <w:rPr>
          <w:rFonts w:ascii="仿宋" w:hAnsi="仿宋" w:cs="仿宋" w:eastAsia="仿宋"/>
          <w:sz w:val="24"/>
          <w:b/>
        </w:rPr>
        <w:t>【指标</w:t>
      </w:r>
      <w:r>
        <w:rPr>
          <w:rFonts w:ascii="仿宋" w:hAnsi="仿宋" w:cs="仿宋" w:eastAsia="仿宋"/>
          <w:sz w:val="24"/>
          <w:b/>
        </w:rPr>
        <w:t>4</w:t>
      </w:r>
      <w:r>
        <w:rPr>
          <w:rFonts w:ascii="仿宋" w:hAnsi="仿宋" w:cs="仿宋" w:eastAsia="仿宋"/>
          <w:sz w:val="24"/>
          <w:b/>
        </w:rPr>
        <w:t>1</w:t>
      </w:r>
      <w:r>
        <w:rPr>
          <w:rFonts w:ascii="仿宋" w:hAnsi="仿宋" w:cs="仿宋" w:eastAsia="仿宋"/>
          <w:sz w:val="24"/>
          <w:b/>
        </w:rPr>
        <w:t>】</w:t>
      </w:r>
      <w:r>
        <w:rPr>
          <w:rFonts w:ascii="仿宋" w:hAnsi="仿宋" w:cs="仿宋" w:eastAsia="仿宋"/>
          <w:sz w:val="24"/>
        </w:rPr>
        <w:t>5</w:t>
      </w:r>
      <w:r>
        <w:rPr>
          <w:rFonts w:ascii="仿宋" w:hAnsi="仿宋" w:cs="仿宋" w:eastAsia="仿宋"/>
          <w:sz w:val="24"/>
        </w:rPr>
        <w:t>、</w:t>
      </w:r>
      <w:r>
        <w:rPr>
          <w:rFonts w:ascii="仿宋" w:hAnsi="仿宋" w:cs="仿宋" w:eastAsia="仿宋"/>
          <w:sz w:val="24"/>
        </w:rPr>
        <w:t>▲</w:t>
      </w:r>
      <w:r>
        <w:rPr>
          <w:rFonts w:ascii="仿宋" w:hAnsi="仿宋" w:cs="仿宋" w:eastAsia="仿宋"/>
          <w:sz w:val="24"/>
        </w:rPr>
        <w:t>产品特殊格式病毒样本库检测率不低于</w:t>
      </w:r>
      <w:r>
        <w:rPr>
          <w:rFonts w:ascii="仿宋" w:hAnsi="仿宋" w:cs="仿宋" w:eastAsia="仿宋"/>
          <w:sz w:val="24"/>
        </w:rPr>
        <w:t>99.9%，误报检验样本库不高于0.01%。（投标人须在投标文件中提供国家网信办等四部门发布的《承担网络关键设备和网络安全专用产品认证》中检测机构出具的检测报告作为佐证材料）</w:t>
      </w:r>
    </w:p>
    <w:p>
      <w:pPr>
        <w:pStyle w:val="null3"/>
        <w:ind w:firstLine="480"/>
        <w:jc w:val="both"/>
      </w:pPr>
      <w:r>
        <w:rPr>
          <w:rFonts w:ascii="仿宋" w:hAnsi="仿宋" w:cs="仿宋" w:eastAsia="仿宋"/>
          <w:sz w:val="24"/>
          <w:b/>
        </w:rPr>
        <w:t>【指标</w:t>
      </w:r>
      <w:r>
        <w:rPr>
          <w:rFonts w:ascii="仿宋" w:hAnsi="仿宋" w:cs="仿宋" w:eastAsia="仿宋"/>
          <w:sz w:val="24"/>
          <w:b/>
        </w:rPr>
        <w:t>4</w:t>
      </w:r>
      <w:r>
        <w:rPr>
          <w:rFonts w:ascii="仿宋" w:hAnsi="仿宋" w:cs="仿宋" w:eastAsia="仿宋"/>
          <w:sz w:val="24"/>
          <w:b/>
        </w:rPr>
        <w:t>2</w:t>
      </w:r>
      <w:r>
        <w:rPr>
          <w:rFonts w:ascii="仿宋" w:hAnsi="仿宋" w:cs="仿宋" w:eastAsia="仿宋"/>
          <w:sz w:val="24"/>
          <w:b/>
        </w:rPr>
        <w:t>】</w:t>
      </w:r>
      <w:r>
        <w:rPr>
          <w:rFonts w:ascii="仿宋" w:hAnsi="仿宋" w:cs="仿宋" w:eastAsia="仿宋"/>
          <w:sz w:val="24"/>
        </w:rPr>
        <w:t>6</w:t>
      </w:r>
      <w:r>
        <w:rPr>
          <w:rFonts w:ascii="仿宋" w:hAnsi="仿宋" w:cs="仿宋" w:eastAsia="仿宋"/>
          <w:sz w:val="24"/>
        </w:rPr>
        <w:t>、支持记录终端最后一次完成全盘扫描的时间。支持仅利用多个非工作时间时间段完成一次全盘扫描。</w:t>
      </w:r>
    </w:p>
    <w:p>
      <w:pPr>
        <w:pStyle w:val="null3"/>
        <w:ind w:firstLine="480"/>
        <w:jc w:val="both"/>
      </w:pPr>
      <w:r>
        <w:rPr>
          <w:rFonts w:ascii="仿宋" w:hAnsi="仿宋" w:cs="仿宋" w:eastAsia="仿宋"/>
          <w:sz w:val="24"/>
          <w:b/>
        </w:rPr>
        <w:t>【指标</w:t>
      </w:r>
      <w:r>
        <w:rPr>
          <w:rFonts w:ascii="仿宋" w:hAnsi="仿宋" w:cs="仿宋" w:eastAsia="仿宋"/>
          <w:sz w:val="24"/>
          <w:b/>
        </w:rPr>
        <w:t>4</w:t>
      </w:r>
      <w:r>
        <w:rPr>
          <w:rFonts w:ascii="仿宋" w:hAnsi="仿宋" w:cs="仿宋" w:eastAsia="仿宋"/>
          <w:sz w:val="24"/>
          <w:b/>
        </w:rPr>
        <w:t>3</w:t>
      </w:r>
      <w:r>
        <w:rPr>
          <w:rFonts w:ascii="仿宋" w:hAnsi="仿宋" w:cs="仿宋" w:eastAsia="仿宋"/>
          <w:sz w:val="24"/>
          <w:b/>
        </w:rPr>
        <w:t>】</w:t>
      </w:r>
      <w:r>
        <w:rPr>
          <w:rFonts w:ascii="仿宋" w:hAnsi="仿宋" w:cs="仿宋" w:eastAsia="仿宋"/>
          <w:sz w:val="24"/>
        </w:rPr>
        <w:t>7</w:t>
      </w:r>
      <w:r>
        <w:rPr>
          <w:rFonts w:ascii="仿宋" w:hAnsi="仿宋" w:cs="仿宋" w:eastAsia="仿宋"/>
          <w:sz w:val="24"/>
        </w:rPr>
        <w:t>、</w:t>
      </w:r>
      <w:r>
        <w:rPr>
          <w:rFonts w:ascii="仿宋" w:hAnsi="仿宋" w:cs="仿宋" w:eastAsia="仿宋"/>
          <w:sz w:val="24"/>
        </w:rPr>
        <w:t>▲</w:t>
      </w:r>
      <w:r>
        <w:rPr>
          <w:rFonts w:ascii="仿宋" w:hAnsi="仿宋" w:cs="仿宋" w:eastAsia="仿宋"/>
          <w:sz w:val="24"/>
        </w:rPr>
        <w:t>支持对压缩包内的病毒扫描，支持多层压缩包的扫描，可自定义配置压缩包的扫描层数，至少大约</w:t>
      </w:r>
      <w:r>
        <w:rPr>
          <w:rFonts w:ascii="仿宋" w:hAnsi="仿宋" w:cs="仿宋" w:eastAsia="仿宋"/>
          <w:sz w:val="24"/>
        </w:rPr>
        <w:t>10层模式下的扫描。（须提供功能界面截图）</w:t>
      </w:r>
      <w:r>
        <w:rPr>
          <w:rFonts w:ascii="仿宋" w:hAnsi="仿宋" w:cs="仿宋" w:eastAsia="仿宋"/>
          <w:sz w:val="24"/>
        </w:rPr>
        <w:t>；</w:t>
      </w:r>
    </w:p>
    <w:p>
      <w:pPr>
        <w:pStyle w:val="null3"/>
        <w:ind w:firstLine="720"/>
        <w:jc w:val="both"/>
      </w:pPr>
      <w:r>
        <w:rPr>
          <w:rFonts w:ascii="仿宋" w:hAnsi="仿宋" w:cs="仿宋" w:eastAsia="仿宋"/>
          <w:sz w:val="24"/>
        </w:rPr>
        <w:t>产品能够提供有效抵御已知病毒、</w:t>
      </w:r>
      <w:r>
        <w:rPr>
          <w:rFonts w:ascii="仿宋" w:hAnsi="仿宋" w:cs="仿宋" w:eastAsia="仿宋"/>
          <w:sz w:val="24"/>
        </w:rPr>
        <w:t>0day漏洞、未知恶意代码和 APT攻击的终端安全防御体系，具备统一管控，终端设备管控等功能。（投标人须在投标文件中提供国家网信办等四部门发布的《承担网络关键设备和网络安全专用产品认证》中检测机构出具的检测报告作为佐证材料）</w:t>
      </w:r>
      <w:r>
        <w:rPr>
          <w:rFonts w:ascii="仿宋" w:hAnsi="仿宋" w:cs="仿宋" w:eastAsia="仿宋"/>
          <w:sz w:val="24"/>
        </w:rPr>
        <w:t>：</w:t>
      </w:r>
    </w:p>
    <w:p>
      <w:pPr>
        <w:pStyle w:val="null3"/>
        <w:ind w:firstLine="720"/>
        <w:jc w:val="both"/>
      </w:pPr>
      <w:r>
        <w:rPr>
          <w:rFonts w:ascii="仿宋" w:hAnsi="仿宋" w:cs="仿宋" w:eastAsia="仿宋"/>
          <w:sz w:val="24"/>
        </w:rPr>
        <w:t>所投产品必须支持与单位现有防火墙技术联动，当发生威胁时，能及时联动反馈给防火墙，防火墙针对反馈情况作出实现基于终端健康状态的访问控制；针对该威胁作出阻断</w:t>
      </w:r>
      <w:r>
        <w:rPr>
          <w:rFonts w:ascii="仿宋" w:hAnsi="仿宋" w:cs="仿宋" w:eastAsia="仿宋"/>
          <w:sz w:val="24"/>
        </w:rPr>
        <w:t>“高风险”终端网络活动的同时，提示被阻断原因及重定向自定义网址。（投标文件需要提供能够体现上述功能及配置选项的截图）；</w:t>
      </w:r>
    </w:p>
    <w:p>
      <w:pPr>
        <w:pStyle w:val="null3"/>
        <w:ind w:firstLine="480"/>
        <w:jc w:val="both"/>
      </w:pPr>
      <w:r>
        <w:rPr>
          <w:rFonts w:ascii="仿宋" w:hAnsi="仿宋" w:cs="仿宋" w:eastAsia="仿宋"/>
          <w:sz w:val="24"/>
          <w:b/>
        </w:rPr>
        <w:t>【指标</w:t>
      </w:r>
      <w:r>
        <w:rPr>
          <w:rFonts w:ascii="仿宋" w:hAnsi="仿宋" w:cs="仿宋" w:eastAsia="仿宋"/>
          <w:sz w:val="24"/>
          <w:b/>
        </w:rPr>
        <w:t>4</w:t>
      </w:r>
      <w:r>
        <w:rPr>
          <w:rFonts w:ascii="仿宋" w:hAnsi="仿宋" w:cs="仿宋" w:eastAsia="仿宋"/>
          <w:sz w:val="24"/>
          <w:b/>
        </w:rPr>
        <w:t>4</w:t>
      </w:r>
      <w:r>
        <w:rPr>
          <w:rFonts w:ascii="仿宋" w:hAnsi="仿宋" w:cs="仿宋" w:eastAsia="仿宋"/>
          <w:sz w:val="24"/>
          <w:b/>
        </w:rPr>
        <w:t>】</w:t>
      </w:r>
      <w:r>
        <w:rPr>
          <w:rFonts w:ascii="仿宋" w:hAnsi="仿宋" w:cs="仿宋" w:eastAsia="仿宋"/>
          <w:sz w:val="24"/>
        </w:rPr>
        <w:t>8</w:t>
      </w:r>
      <w:r>
        <w:rPr>
          <w:rFonts w:ascii="仿宋" w:hAnsi="仿宋" w:cs="仿宋" w:eastAsia="仿宋"/>
          <w:sz w:val="24"/>
        </w:rPr>
        <w:t>、支持不少于三个杀毒引擎混合使用，提高病毒检出率。</w:t>
      </w:r>
    </w:p>
    <w:p>
      <w:pPr>
        <w:pStyle w:val="null3"/>
        <w:ind w:firstLine="482"/>
        <w:jc w:val="both"/>
      </w:pPr>
      <w:r>
        <w:rPr>
          <w:rFonts w:ascii="仿宋" w:hAnsi="仿宋" w:cs="仿宋" w:eastAsia="仿宋"/>
          <w:sz w:val="24"/>
          <w:b/>
        </w:rPr>
        <w:t>3.2.24机房安全防护服务</w:t>
      </w:r>
    </w:p>
    <w:p>
      <w:pPr>
        <w:pStyle w:val="null3"/>
        <w:ind w:firstLine="480"/>
        <w:jc w:val="both"/>
      </w:pPr>
      <w:r>
        <w:rPr>
          <w:rFonts w:ascii="仿宋" w:hAnsi="仿宋" w:cs="仿宋" w:eastAsia="仿宋"/>
          <w:sz w:val="24"/>
        </w:rPr>
        <w:t>在服务期限内，需要协助加强中心本地机房的安全防护，包括但不限于安全设备更新，提供设备扩容、版本更新，特征库进行升级，现场支持、故障响应修复备机等安全服务，确保它们能够持续有效地抵御各种安全威胁，从而保障整个网络系统的安全稳定运行。</w:t>
      </w:r>
    </w:p>
    <w:p>
      <w:pPr>
        <w:pStyle w:val="null3"/>
        <w:ind w:firstLine="482"/>
        <w:jc w:val="both"/>
      </w:pPr>
      <w:r>
        <w:rPr>
          <w:rFonts w:ascii="仿宋" w:hAnsi="仿宋" w:cs="仿宋" w:eastAsia="仿宋"/>
          <w:sz w:val="24"/>
          <w:b/>
        </w:rPr>
        <w:t>【指标</w:t>
      </w:r>
      <w:r>
        <w:rPr>
          <w:rFonts w:ascii="仿宋" w:hAnsi="仿宋" w:cs="仿宋" w:eastAsia="仿宋"/>
          <w:sz w:val="24"/>
          <w:b/>
        </w:rPr>
        <w:t>4</w:t>
      </w:r>
      <w:r>
        <w:rPr>
          <w:rFonts w:ascii="仿宋" w:hAnsi="仿宋" w:cs="仿宋" w:eastAsia="仿宋"/>
          <w:sz w:val="24"/>
          <w:b/>
        </w:rPr>
        <w:t>5</w:t>
      </w:r>
      <w:r>
        <w:rPr>
          <w:rFonts w:ascii="仿宋" w:hAnsi="仿宋" w:cs="仿宋" w:eastAsia="仿宋"/>
          <w:sz w:val="24"/>
          <w:b/>
        </w:rPr>
        <w:t>】</w:t>
      </w:r>
      <w:r>
        <w:rPr>
          <w:rFonts w:ascii="仿宋" w:hAnsi="仿宋" w:cs="仿宋" w:eastAsia="仿宋"/>
          <w:sz w:val="24"/>
        </w:rPr>
        <w:t>提供包括但不限于以下设备维保：</w:t>
      </w:r>
    </w:p>
    <w:p>
      <w:pPr>
        <w:pStyle w:val="null3"/>
        <w:ind w:firstLine="480"/>
      </w:pPr>
      <w:r>
        <w:rPr>
          <w:rFonts w:ascii="仿宋" w:hAnsi="仿宋" w:cs="仿宋" w:eastAsia="仿宋"/>
          <w:sz w:val="24"/>
        </w:rPr>
        <w:t>（</w:t>
      </w:r>
      <w:r>
        <w:rPr>
          <w:rFonts w:ascii="仿宋" w:hAnsi="仿宋" w:cs="仿宋" w:eastAsia="仿宋"/>
          <w:sz w:val="24"/>
        </w:rPr>
        <w:t>1）网神Sec防火墙（内网）—网神SecGate3600防火墙</w:t>
      </w:r>
    </w:p>
    <w:p>
      <w:pPr>
        <w:pStyle w:val="null3"/>
        <w:ind w:firstLine="480"/>
      </w:pPr>
      <w:r>
        <w:rPr>
          <w:rFonts w:ascii="仿宋" w:hAnsi="仿宋" w:cs="仿宋" w:eastAsia="仿宋"/>
          <w:sz w:val="24"/>
        </w:rPr>
        <w:t>（</w:t>
      </w:r>
      <w:r>
        <w:rPr>
          <w:rFonts w:ascii="仿宋" w:hAnsi="仿宋" w:cs="仿宋" w:eastAsia="仿宋"/>
          <w:sz w:val="24"/>
        </w:rPr>
        <w:t>2）网神Sec防火墙 (互联网)—网神SecGate3600防火墙</w:t>
      </w:r>
    </w:p>
    <w:p>
      <w:pPr>
        <w:pStyle w:val="null3"/>
        <w:ind w:firstLine="480"/>
      </w:pPr>
      <w:r>
        <w:rPr>
          <w:rFonts w:ascii="仿宋" w:hAnsi="仿宋" w:cs="仿宋" w:eastAsia="仿宋"/>
          <w:sz w:val="24"/>
        </w:rPr>
        <w:t>维保要求：每月安排人员进行一次设备相关规则库的更新，硬件维保。</w:t>
      </w:r>
    </w:p>
    <w:p>
      <w:pPr>
        <w:pStyle w:val="null3"/>
        <w:ind w:firstLine="482"/>
      </w:pPr>
      <w:r>
        <w:rPr>
          <w:rFonts w:ascii="仿宋" w:hAnsi="仿宋" w:cs="仿宋" w:eastAsia="仿宋"/>
          <w:sz w:val="24"/>
          <w:b/>
        </w:rPr>
        <w:t>【指标</w:t>
      </w:r>
      <w:r>
        <w:rPr>
          <w:rFonts w:ascii="仿宋" w:hAnsi="仿宋" w:cs="仿宋" w:eastAsia="仿宋"/>
          <w:sz w:val="24"/>
          <w:b/>
        </w:rPr>
        <w:t>4</w:t>
      </w:r>
      <w:r>
        <w:rPr>
          <w:rFonts w:ascii="仿宋" w:hAnsi="仿宋" w:cs="仿宋" w:eastAsia="仿宋"/>
          <w:sz w:val="24"/>
          <w:b/>
        </w:rPr>
        <w:t>6</w:t>
      </w:r>
      <w:r>
        <w:rPr>
          <w:rFonts w:ascii="仿宋" w:hAnsi="仿宋" w:cs="仿宋" w:eastAsia="仿宋"/>
          <w:sz w:val="24"/>
          <w:b/>
        </w:rPr>
        <w:t>】</w:t>
      </w:r>
      <w:r>
        <w:rPr>
          <w:rFonts w:ascii="仿宋" w:hAnsi="仿宋" w:cs="仿宋" w:eastAsia="仿宋"/>
          <w:sz w:val="24"/>
        </w:rPr>
        <w:t>★成交供应商应在合同签订后1个月内完成安全设备的规则库、软件更新硬件维保等年度授权服务。</w:t>
      </w:r>
    </w:p>
    <w:p>
      <w:pPr>
        <w:pStyle w:val="null3"/>
        <w:ind w:firstLine="482"/>
      </w:pPr>
      <w:r>
        <w:rPr>
          <w:rFonts w:ascii="仿宋" w:hAnsi="仿宋" w:cs="仿宋" w:eastAsia="仿宋"/>
          <w:sz w:val="24"/>
          <w:b/>
        </w:rPr>
        <w:t>【指标</w:t>
      </w:r>
      <w:r>
        <w:rPr>
          <w:rFonts w:ascii="仿宋" w:hAnsi="仿宋" w:cs="仿宋" w:eastAsia="仿宋"/>
          <w:sz w:val="24"/>
          <w:b/>
        </w:rPr>
        <w:t>47</w:t>
      </w:r>
      <w:r>
        <w:rPr>
          <w:rFonts w:ascii="仿宋" w:hAnsi="仿宋" w:cs="仿宋" w:eastAsia="仿宋"/>
          <w:sz w:val="24"/>
          <w:b/>
        </w:rPr>
        <w:t>】</w:t>
      </w:r>
      <w:r>
        <w:rPr>
          <w:rFonts w:ascii="仿宋" w:hAnsi="仿宋" w:cs="仿宋" w:eastAsia="仿宋"/>
          <w:sz w:val="24"/>
        </w:rPr>
        <w:t>★供应商须随时关注设备厂家的规则库、软件更新等升级动态，及时获取最新的产品软件，实时进行升级服务，确保安全系统及时有效，为了保障服务质量，保证原厂（非第三方）专业的技术支持服务，如投标人非原厂商时，投标人需</w:t>
      </w:r>
      <w:r>
        <w:rPr>
          <w:rFonts w:ascii="仿宋" w:hAnsi="仿宋" w:cs="仿宋" w:eastAsia="仿宋"/>
          <w:sz w:val="24"/>
        </w:rPr>
        <w:t>承诺可</w:t>
      </w:r>
      <w:r>
        <w:rPr>
          <w:rFonts w:ascii="仿宋" w:hAnsi="仿宋" w:cs="仿宋" w:eastAsia="仿宋"/>
          <w:sz w:val="24"/>
        </w:rPr>
        <w:t>提供维保设备的原厂服务续保</w:t>
      </w:r>
      <w:r>
        <w:rPr>
          <w:rFonts w:ascii="仿宋" w:hAnsi="仿宋" w:cs="仿宋" w:eastAsia="仿宋"/>
          <w:sz w:val="24"/>
        </w:rPr>
        <w:t>，</w:t>
      </w:r>
      <w:r>
        <w:rPr>
          <w:rFonts w:ascii="仿宋" w:hAnsi="仿宋" w:cs="仿宋" w:eastAsia="仿宋"/>
          <w:sz w:val="24"/>
        </w:rPr>
        <w:t>需提供专项承诺函。</w:t>
      </w:r>
    </w:p>
    <w:p>
      <w:pPr>
        <w:pStyle w:val="null3"/>
        <w:jc w:val="both"/>
      </w:pPr>
      <w:r>
        <w:rPr/>
        <w:t xml:space="preserve"> </w:t>
      </w:r>
    </w:p>
    <w:p>
      <w:pPr>
        <w:pStyle w:val="null3"/>
      </w:pPr>
      <w:r>
        <w:rPr>
          <w:rFonts w:ascii="仿宋" w:hAnsi="仿宋" w:cs="仿宋" w:eastAsia="仿宋"/>
          <w:sz w:val="24"/>
          <w:b/>
        </w:rPr>
        <w:t>4.安全服务要求</w:t>
      </w:r>
    </w:p>
    <w:p>
      <w:pPr>
        <w:pStyle w:val="null3"/>
      </w:pPr>
      <w:r>
        <w:rPr>
          <w:rFonts w:ascii="仿宋" w:hAnsi="仿宋" w:cs="仿宋" w:eastAsia="仿宋"/>
          <w:sz w:val="24"/>
          <w:b/>
        </w:rPr>
        <w:t>【指标</w:t>
      </w:r>
      <w:r>
        <w:rPr>
          <w:rFonts w:ascii="仿宋" w:hAnsi="仿宋" w:cs="仿宋" w:eastAsia="仿宋"/>
          <w:sz w:val="24"/>
          <w:b/>
        </w:rPr>
        <w:t>48</w:t>
      </w:r>
      <w:r>
        <w:rPr>
          <w:rFonts w:ascii="仿宋" w:hAnsi="仿宋" w:cs="仿宋" w:eastAsia="仿宋"/>
          <w:sz w:val="24"/>
          <w:b/>
        </w:rPr>
        <w:t>】</w:t>
      </w:r>
      <w:r>
        <w:rPr>
          <w:rFonts w:ascii="仿宋" w:hAnsi="仿宋" w:cs="仿宋" w:eastAsia="仿宋"/>
          <w:sz w:val="24"/>
          <w:b/>
        </w:rPr>
        <w:t>4.1安全责任与保密要求</w:t>
      </w:r>
    </w:p>
    <w:p>
      <w:pPr>
        <w:pStyle w:val="null3"/>
        <w:ind w:right="45" w:firstLine="422"/>
      </w:pPr>
      <w:r>
        <w:rPr>
          <w:rFonts w:ascii="仿宋" w:hAnsi="仿宋" w:cs="仿宋" w:eastAsia="仿宋"/>
          <w:sz w:val="24"/>
        </w:rPr>
        <w:t>4.1.1未经省交通保障中心许可，不得将设备配置、网络拓朴、扫描结果、项目文档、数据信息等单位内部信息、资料对外传播或泄露。</w:t>
      </w:r>
    </w:p>
    <w:p>
      <w:pPr>
        <w:pStyle w:val="null3"/>
        <w:ind w:right="45" w:firstLine="422"/>
      </w:pPr>
      <w:r>
        <w:rPr>
          <w:rFonts w:ascii="仿宋" w:hAnsi="仿宋" w:cs="仿宋" w:eastAsia="仿宋"/>
          <w:sz w:val="24"/>
        </w:rPr>
        <w:t>4.1.2未经省交通保障中心许可，不得将系统帐号、密码和相关权限与他人共用，亦要防止意外泄露。</w:t>
      </w:r>
    </w:p>
    <w:p>
      <w:pPr>
        <w:pStyle w:val="null3"/>
        <w:ind w:right="45" w:firstLine="422"/>
      </w:pPr>
      <w:r>
        <w:rPr>
          <w:rFonts w:ascii="仿宋" w:hAnsi="仿宋" w:cs="仿宋" w:eastAsia="仿宋"/>
          <w:sz w:val="24"/>
        </w:rPr>
        <w:t>4.1.3需遵守进出机房的相关管理规定。</w:t>
      </w:r>
    </w:p>
    <w:p>
      <w:pPr>
        <w:pStyle w:val="null3"/>
        <w:ind w:right="45" w:firstLine="422"/>
      </w:pPr>
      <w:r>
        <w:rPr>
          <w:rFonts w:ascii="仿宋" w:hAnsi="仿宋" w:cs="仿宋" w:eastAsia="仿宋"/>
          <w:sz w:val="24"/>
        </w:rPr>
        <w:t>4.1.4需接受系统运维操作等相关安全审计和信息安全检查。</w:t>
      </w:r>
    </w:p>
    <w:p>
      <w:pPr>
        <w:pStyle w:val="null3"/>
      </w:pPr>
      <w:r>
        <w:rPr>
          <w:rFonts w:ascii="仿宋" w:hAnsi="仿宋" w:cs="仿宋" w:eastAsia="仿宋"/>
          <w:sz w:val="24"/>
          <w:b/>
        </w:rPr>
        <w:t>【指标</w:t>
      </w:r>
      <w:r>
        <w:rPr>
          <w:rFonts w:ascii="仿宋" w:hAnsi="仿宋" w:cs="仿宋" w:eastAsia="仿宋"/>
          <w:sz w:val="24"/>
          <w:b/>
        </w:rPr>
        <w:t>49</w:t>
      </w:r>
      <w:r>
        <w:rPr>
          <w:rFonts w:ascii="仿宋" w:hAnsi="仿宋" w:cs="仿宋" w:eastAsia="仿宋"/>
          <w:sz w:val="24"/>
          <w:b/>
        </w:rPr>
        <w:t>】</w:t>
      </w:r>
      <w:r>
        <w:rPr>
          <w:rFonts w:ascii="仿宋" w:hAnsi="仿宋" w:cs="仿宋" w:eastAsia="仿宋"/>
          <w:sz w:val="24"/>
          <w:b/>
        </w:rPr>
        <w:t>★4.2成果提交</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1661"/>
        <w:gridCol w:w="1661"/>
        <w:gridCol w:w="1661"/>
        <w:gridCol w:w="1661"/>
        <w:gridCol w:w="1661"/>
      </w:tblGrid>
      <w:tr>
        <w:tc>
          <w:tcPr>
            <w:tcW w:type="dxa" w:w="1661"/>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ind w:right="45"/>
              <w:jc w:val="center"/>
            </w:pPr>
            <w:r>
              <w:rPr>
                <w:rFonts w:ascii="仿宋" w:hAnsi="仿宋" w:cs="仿宋" w:eastAsia="仿宋"/>
                <w:sz w:val="24"/>
              </w:rPr>
              <w:t>类别</w:t>
            </w:r>
          </w:p>
        </w:tc>
        <w:tc>
          <w:tcPr>
            <w:tcW w:type="dxa" w:w="1661"/>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ind w:right="45"/>
              <w:jc w:val="center"/>
            </w:pPr>
            <w:r>
              <w:rPr>
                <w:rFonts w:ascii="仿宋" w:hAnsi="仿宋" w:cs="仿宋" w:eastAsia="仿宋"/>
                <w:sz w:val="24"/>
              </w:rPr>
              <w:t>序号</w:t>
            </w:r>
          </w:p>
        </w:tc>
        <w:tc>
          <w:tcPr>
            <w:tcW w:type="dxa" w:w="1661"/>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ind w:right="45"/>
              <w:jc w:val="center"/>
            </w:pPr>
            <w:r>
              <w:rPr>
                <w:rFonts w:ascii="仿宋" w:hAnsi="仿宋" w:cs="仿宋" w:eastAsia="仿宋"/>
                <w:sz w:val="24"/>
              </w:rPr>
              <w:t>服务名称</w:t>
            </w:r>
          </w:p>
        </w:tc>
        <w:tc>
          <w:tcPr>
            <w:tcW w:type="dxa" w:w="1661"/>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ind w:right="45"/>
              <w:jc w:val="center"/>
            </w:pPr>
            <w:r>
              <w:rPr>
                <w:rFonts w:ascii="仿宋" w:hAnsi="仿宋" w:cs="仿宋" w:eastAsia="仿宋"/>
                <w:sz w:val="24"/>
              </w:rPr>
              <w:t>服务频度</w:t>
            </w:r>
          </w:p>
        </w:tc>
        <w:tc>
          <w:tcPr>
            <w:tcW w:type="dxa" w:w="1661"/>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ind w:right="45"/>
              <w:jc w:val="center"/>
            </w:pPr>
            <w:r>
              <w:rPr>
                <w:rFonts w:ascii="仿宋" w:hAnsi="仿宋" w:cs="仿宋" w:eastAsia="仿宋"/>
                <w:sz w:val="24"/>
              </w:rPr>
              <w:t>交互成果（每年）</w:t>
            </w:r>
          </w:p>
        </w:tc>
      </w:tr>
      <w:tr>
        <w:tc>
          <w:tcPr>
            <w:tcW w:type="dxa" w:w="16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等保服务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等保测评服务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单次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jc w:val="center"/>
            </w:pPr>
            <w:r>
              <w:rPr>
                <w:rFonts w:ascii="仿宋" w:hAnsi="仿宋" w:cs="仿宋" w:eastAsia="仿宋"/>
                <w:sz w:val="24"/>
              </w:rPr>
              <w:t>XXX系统测评报告/1套</w:t>
            </w: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等保咨询服务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单次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jc w:val="center"/>
            </w:pPr>
            <w:r>
              <w:rPr>
                <w:rFonts w:ascii="仿宋" w:hAnsi="仿宋" w:cs="仿宋" w:eastAsia="仿宋"/>
                <w:sz w:val="24"/>
              </w:rPr>
              <w:t>按需配合测评机构提供材料</w:t>
            </w:r>
          </w:p>
        </w:tc>
      </w:tr>
      <w:tr>
        <w:tc>
          <w:tcPr>
            <w:tcW w:type="dxa" w:w="16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业务安全检查服务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jc w:val="left"/>
            </w:pPr>
            <w:r>
              <w:rPr>
                <w:rFonts w:ascii="仿宋" w:hAnsi="仿宋" w:cs="仿宋" w:eastAsia="仿宋"/>
                <w:sz w:val="24"/>
              </w:rPr>
              <w:t>互联网暴露资产自查服务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4次/年</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jc w:val="center"/>
            </w:pPr>
            <w:r>
              <w:rPr>
                <w:rFonts w:ascii="仿宋" w:hAnsi="仿宋" w:cs="仿宋" w:eastAsia="仿宋"/>
                <w:sz w:val="24"/>
              </w:rPr>
              <w:t>《</w:t>
            </w:r>
            <w:r>
              <w:rPr>
                <w:rFonts w:ascii="仿宋" w:hAnsi="仿宋" w:cs="仿宋" w:eastAsia="仿宋"/>
                <w:sz w:val="24"/>
              </w:rPr>
              <w:t>XX系统检测服务报告》/4份</w:t>
            </w: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jc w:val="left"/>
            </w:pPr>
            <w:r>
              <w:rPr>
                <w:rFonts w:ascii="仿宋" w:hAnsi="仿宋" w:cs="仿宋" w:eastAsia="仿宋"/>
                <w:sz w:val="24"/>
              </w:rPr>
              <w:t>渗透测试</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2次/年</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jc w:val="center"/>
            </w:pPr>
            <w:r>
              <w:rPr>
                <w:rFonts w:ascii="仿宋" w:hAnsi="仿宋" w:cs="仿宋" w:eastAsia="仿宋"/>
                <w:sz w:val="24"/>
              </w:rPr>
              <w:t>《</w:t>
            </w:r>
            <w:r>
              <w:rPr>
                <w:rFonts w:ascii="仿宋" w:hAnsi="仿宋" w:cs="仿宋" w:eastAsia="仿宋"/>
                <w:sz w:val="24"/>
              </w:rPr>
              <w:t>XX系统渗透测试服务报告》/2份</w:t>
            </w: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jc w:val="left"/>
            </w:pPr>
            <w:r>
              <w:rPr>
                <w:rFonts w:ascii="仿宋" w:hAnsi="仿宋" w:cs="仿宋" w:eastAsia="仿宋"/>
                <w:sz w:val="24"/>
              </w:rPr>
              <w:t>网站安全监控服务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1套/年</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jc w:val="center"/>
            </w:pPr>
            <w:r>
              <w:rPr>
                <w:rFonts w:ascii="仿宋" w:hAnsi="仿宋" w:cs="仿宋" w:eastAsia="仿宋"/>
                <w:sz w:val="24"/>
              </w:rPr>
              <w:t>《</w:t>
            </w:r>
            <w:r>
              <w:rPr>
                <w:rFonts w:ascii="仿宋" w:hAnsi="仿宋" w:cs="仿宋" w:eastAsia="仿宋"/>
                <w:sz w:val="24"/>
              </w:rPr>
              <w:t>XX网站监测服务报告》/4份</w:t>
            </w:r>
          </w:p>
        </w:tc>
      </w:tr>
      <w:tr>
        <w:tc>
          <w:tcPr>
            <w:tcW w:type="dxa" w:w="16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ind w:right="45"/>
              <w:jc w:val="center"/>
            </w:pPr>
            <w:r>
              <w:rPr>
                <w:rFonts w:ascii="仿宋" w:hAnsi="仿宋" w:cs="仿宋" w:eastAsia="仿宋"/>
                <w:sz w:val="24"/>
              </w:rPr>
              <w:t>系统安全运维服务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ind w:right="45"/>
              <w:jc w:val="center"/>
            </w:pPr>
            <w:r>
              <w:rPr>
                <w:rFonts w:ascii="仿宋" w:hAnsi="仿宋" w:cs="仿宋" w:eastAsia="仿宋"/>
                <w:sz w:val="24"/>
              </w:rPr>
              <w:t>6</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ind w:right="45"/>
              <w:jc w:val="left"/>
            </w:pPr>
            <w:r>
              <w:rPr>
                <w:rFonts w:ascii="仿宋" w:hAnsi="仿宋" w:cs="仿宋" w:eastAsia="仿宋"/>
                <w:sz w:val="24"/>
              </w:rPr>
              <w:t>安全巡检服务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12次/年</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jc w:val="center"/>
            </w:pPr>
            <w:r>
              <w:rPr>
                <w:rFonts w:ascii="仿宋" w:hAnsi="仿宋" w:cs="仿宋" w:eastAsia="仿宋"/>
                <w:sz w:val="24"/>
              </w:rPr>
              <w:t>《网络安全巡检报告》</w:t>
            </w:r>
            <w:r>
              <w:rPr>
                <w:rFonts w:ascii="仿宋" w:hAnsi="仿宋" w:cs="仿宋" w:eastAsia="仿宋"/>
                <w:sz w:val="24"/>
              </w:rPr>
              <w:t>/12份</w:t>
            </w: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7</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安全检测服务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4次/年</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jc w:val="center"/>
            </w:pPr>
            <w:r>
              <w:rPr>
                <w:rFonts w:ascii="仿宋" w:hAnsi="仿宋" w:cs="仿宋" w:eastAsia="仿宋"/>
                <w:sz w:val="24"/>
              </w:rPr>
              <w:t>《系统安全检测报告》</w:t>
            </w:r>
            <w:r>
              <w:rPr>
                <w:rFonts w:ascii="仿宋" w:hAnsi="仿宋" w:cs="仿宋" w:eastAsia="仿宋"/>
                <w:sz w:val="24"/>
              </w:rPr>
              <w:t>/4份</w:t>
            </w: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8</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安全配置核查服务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4次/年</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jc w:val="center"/>
            </w:pPr>
            <w:r>
              <w:rPr>
                <w:rFonts w:ascii="仿宋" w:hAnsi="仿宋" w:cs="仿宋" w:eastAsia="仿宋"/>
                <w:sz w:val="24"/>
              </w:rPr>
              <w:t>《安全配置核查报告》</w:t>
            </w:r>
            <w:r>
              <w:rPr>
                <w:rFonts w:ascii="仿宋" w:hAnsi="仿宋" w:cs="仿宋" w:eastAsia="仿宋"/>
                <w:sz w:val="24"/>
              </w:rPr>
              <w:t>/4份</w:t>
            </w: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9</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安全加固指导服务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4次/年</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jc w:val="center"/>
            </w:pPr>
            <w:r>
              <w:rPr>
                <w:rFonts w:ascii="仿宋" w:hAnsi="仿宋" w:cs="仿宋" w:eastAsia="仿宋"/>
                <w:sz w:val="24"/>
              </w:rPr>
              <w:t>《</w:t>
            </w:r>
            <w:r>
              <w:rPr>
                <w:rFonts w:ascii="仿宋" w:hAnsi="仿宋" w:cs="仿宋" w:eastAsia="仿宋"/>
                <w:sz w:val="24"/>
              </w:rPr>
              <w:t>xx安全加固报告》/4份</w:t>
            </w: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10</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安全措施有效性验证服务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2次/年</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jc w:val="center"/>
            </w:pPr>
            <w:r>
              <w:rPr>
                <w:rFonts w:ascii="仿宋" w:hAnsi="仿宋" w:cs="仿宋" w:eastAsia="仿宋"/>
                <w:sz w:val="24"/>
              </w:rPr>
              <w:t>《安全设备策略有效性验证报告》</w:t>
            </w:r>
            <w:r>
              <w:rPr>
                <w:rFonts w:ascii="仿宋" w:hAnsi="仿宋" w:cs="仿宋" w:eastAsia="仿宋"/>
                <w:sz w:val="24"/>
              </w:rPr>
              <w:t>/2份</w:t>
            </w: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基层终端安全检查服务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4次/年</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jc w:val="center"/>
            </w:pPr>
            <w:r>
              <w:rPr>
                <w:rFonts w:ascii="仿宋" w:hAnsi="仿宋" w:cs="仿宋" w:eastAsia="仿宋"/>
                <w:sz w:val="24"/>
              </w:rPr>
              <w:t>《终端安全检查报告》</w:t>
            </w:r>
            <w:r>
              <w:rPr>
                <w:rFonts w:ascii="仿宋" w:hAnsi="仿宋" w:cs="仿宋" w:eastAsia="仿宋"/>
                <w:sz w:val="24"/>
              </w:rPr>
              <w:t>/4份</w:t>
            </w: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保密检查服务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4次/年</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jc w:val="center"/>
            </w:pPr>
            <w:r>
              <w:rPr>
                <w:rFonts w:ascii="仿宋" w:hAnsi="仿宋" w:cs="仿宋" w:eastAsia="仿宋"/>
                <w:sz w:val="24"/>
              </w:rPr>
              <w:t>《终端保密检查报告》</w:t>
            </w:r>
            <w:r>
              <w:rPr>
                <w:rFonts w:ascii="仿宋" w:hAnsi="仿宋" w:cs="仿宋" w:eastAsia="仿宋"/>
                <w:sz w:val="24"/>
              </w:rPr>
              <w:t>/4份</w:t>
            </w: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13</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新系统上线检测服务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单次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jc w:val="center"/>
            </w:pPr>
            <w:r>
              <w:rPr>
                <w:rFonts w:ascii="仿宋" w:hAnsi="仿宋" w:cs="仿宋" w:eastAsia="仿宋"/>
                <w:sz w:val="24"/>
              </w:rPr>
              <w:t>《</w:t>
            </w:r>
            <w:r>
              <w:rPr>
                <w:rFonts w:ascii="仿宋" w:hAnsi="仿宋" w:cs="仿宋" w:eastAsia="仿宋"/>
                <w:sz w:val="24"/>
              </w:rPr>
              <w:t>XX系统安全检测报告》/1份（按需）</w:t>
            </w:r>
          </w:p>
        </w:tc>
      </w:tr>
      <w:tr>
        <w:tc>
          <w:tcPr>
            <w:tcW w:type="dxa" w:w="16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ind w:right="45"/>
              <w:jc w:val="center"/>
            </w:pPr>
            <w:r>
              <w:rPr>
                <w:rFonts w:ascii="仿宋" w:hAnsi="仿宋" w:cs="仿宋" w:eastAsia="仿宋"/>
                <w:sz w:val="24"/>
              </w:rPr>
              <w:t>综合服务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ind w:right="45"/>
              <w:jc w:val="center"/>
            </w:pPr>
            <w:r>
              <w:rPr>
                <w:rFonts w:ascii="仿宋" w:hAnsi="仿宋" w:cs="仿宋" w:eastAsia="仿宋"/>
                <w:sz w:val="24"/>
              </w:rPr>
              <w:t>14</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ind w:right="45"/>
              <w:jc w:val="left"/>
            </w:pPr>
            <w:r>
              <w:rPr>
                <w:rFonts w:ascii="仿宋" w:hAnsi="仿宋" w:cs="仿宋" w:eastAsia="仿宋"/>
                <w:sz w:val="24"/>
              </w:rPr>
              <w:t>安全通告服务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1套/年</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jc w:val="center"/>
            </w:pPr>
            <w:r>
              <w:rPr>
                <w:rFonts w:ascii="仿宋" w:hAnsi="仿宋" w:cs="仿宋" w:eastAsia="仿宋"/>
                <w:sz w:val="24"/>
              </w:rPr>
              <w:t>《安全通告月报》</w:t>
            </w:r>
            <w:r>
              <w:rPr>
                <w:rFonts w:ascii="仿宋" w:hAnsi="仿宋" w:cs="仿宋" w:eastAsia="仿宋"/>
                <w:sz w:val="24"/>
              </w:rPr>
              <w:t>/12份</w:t>
            </w: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安全培训服务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1次/年</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jc w:val="center"/>
            </w:pPr>
            <w:r>
              <w:rPr>
                <w:rFonts w:ascii="仿宋" w:hAnsi="仿宋" w:cs="仿宋" w:eastAsia="仿宋"/>
                <w:sz w:val="24"/>
              </w:rPr>
              <w:t>《安全培训</w:t>
            </w:r>
            <w:r>
              <w:rPr>
                <w:rFonts w:ascii="仿宋" w:hAnsi="仿宋" w:cs="仿宋" w:eastAsia="仿宋"/>
                <w:sz w:val="24"/>
              </w:rPr>
              <w:t>PPT》/1份</w:t>
            </w: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16</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演练支撑服务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1次/年</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jc w:val="center"/>
            </w:pPr>
            <w:r>
              <w:rPr>
                <w:rFonts w:ascii="仿宋" w:hAnsi="仿宋" w:cs="仿宋" w:eastAsia="仿宋"/>
                <w:sz w:val="24"/>
              </w:rPr>
              <w:t>《防守报告》</w:t>
            </w:r>
            <w:r>
              <w:rPr>
                <w:rFonts w:ascii="仿宋" w:hAnsi="仿宋" w:cs="仿宋" w:eastAsia="仿宋"/>
                <w:sz w:val="24"/>
              </w:rPr>
              <w:t>/《安全演练报告》</w:t>
            </w: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17</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安全咨询服务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全年</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jc w:val="center"/>
            </w:pPr>
            <w:r>
              <w:rPr>
                <w:rFonts w:ascii="仿宋" w:hAnsi="仿宋" w:cs="仿宋" w:eastAsia="仿宋"/>
                <w:sz w:val="24"/>
              </w:rPr>
              <w:t>/</w:t>
            </w: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18</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基础制度文档编写服务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全年</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jc w:val="center"/>
            </w:pPr>
            <w:r>
              <w:rPr>
                <w:rFonts w:ascii="仿宋" w:hAnsi="仿宋" w:cs="仿宋" w:eastAsia="仿宋"/>
                <w:sz w:val="24"/>
              </w:rPr>
              <w:t>根据客户需求提供相应的基础制度</w:t>
            </w: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19</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应急响应服务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全年</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jc w:val="center"/>
            </w:pPr>
            <w:r>
              <w:rPr>
                <w:rFonts w:ascii="仿宋" w:hAnsi="仿宋" w:cs="仿宋" w:eastAsia="仿宋"/>
                <w:sz w:val="24"/>
              </w:rPr>
              <w:t>《网络故障处理记录表》</w:t>
            </w:r>
            <w:r>
              <w:rPr>
                <w:rFonts w:ascii="仿宋" w:hAnsi="仿宋" w:cs="仿宋" w:eastAsia="仿宋"/>
                <w:sz w:val="24"/>
              </w:rPr>
              <w:t>/每次1份（如有）</w:t>
            </w: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20</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专题保障服务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全年</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jc w:val="center"/>
            </w:pPr>
            <w:r>
              <w:rPr>
                <w:rFonts w:ascii="仿宋" w:hAnsi="仿宋" w:cs="仿宋" w:eastAsia="仿宋"/>
                <w:sz w:val="24"/>
              </w:rPr>
              <w:t>按需</w:t>
            </w: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检查支撑服务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全年</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jc w:val="center"/>
            </w:pPr>
            <w:r>
              <w:rPr>
                <w:rFonts w:ascii="仿宋" w:hAnsi="仿宋" w:cs="仿宋" w:eastAsia="仿宋"/>
                <w:sz w:val="24"/>
              </w:rPr>
              <w:t>按需</w:t>
            </w: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应急演练服务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单次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jc w:val="center"/>
            </w:pPr>
            <w:r>
              <w:rPr>
                <w:rFonts w:ascii="仿宋" w:hAnsi="仿宋" w:cs="仿宋" w:eastAsia="仿宋"/>
                <w:sz w:val="24"/>
              </w:rPr>
              <w:t>演练方案、演练成果等材料</w:t>
            </w:r>
          </w:p>
        </w:tc>
      </w:tr>
      <w:tr>
        <w:tc>
          <w:tcPr>
            <w:tcW w:type="dxa" w:w="1661"/>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其他服务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23</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终端防护服务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一套</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jc w:val="center"/>
            </w:pPr>
            <w:r>
              <w:rPr>
                <w:rFonts w:ascii="仿宋" w:hAnsi="仿宋" w:cs="仿宋" w:eastAsia="仿宋"/>
                <w:sz w:val="24"/>
              </w:rPr>
              <w:t>无（提供软件防护）</w:t>
            </w:r>
          </w:p>
        </w:tc>
      </w:tr>
      <w:tr>
        <w:tc>
          <w:tcPr>
            <w:tcW w:type="dxa" w:w="1661"/>
            <w:vMerge/>
            <w:tcBorders>
              <w:top w:val="none" w:color="000000" w:sz="4"/>
              <w:left w:val="single" w:color="000000" w:sz="4"/>
              <w:bottom w:val="non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24</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机房安全防护服务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按需</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jc w:val="center"/>
            </w:pPr>
            <w:r>
              <w:rPr>
                <w:rFonts w:ascii="仿宋" w:hAnsi="仿宋" w:cs="仿宋" w:eastAsia="仿宋"/>
                <w:sz w:val="24"/>
              </w:rPr>
              <w:t>按需提供</w:t>
            </w:r>
          </w:p>
        </w:tc>
      </w:tr>
      <w:tr>
        <w:tc>
          <w:tcPr>
            <w:tcW w:type="dxa" w:w="1661"/>
            <w:vMerge/>
            <w:tcBorders>
              <w:top w:val="none" w:color="000000" w:sz="4"/>
              <w:left w:val="single" w:color="000000" w:sz="4"/>
              <w:bottom w:val="non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25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文件内容审核服务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按需</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jc w:val="center"/>
            </w:pPr>
            <w:r>
              <w:rPr>
                <w:rFonts w:ascii="仿宋" w:hAnsi="仿宋" w:cs="仿宋" w:eastAsia="仿宋"/>
                <w:sz w:val="24"/>
              </w:rPr>
              <w:t>按需提供</w:t>
            </w:r>
          </w:p>
        </w:tc>
      </w:tr>
      <w:tr>
        <w:tc>
          <w:tcPr>
            <w:tcW w:type="dxa" w:w="1661"/>
            <w:vMerge/>
            <w:tcBorders>
              <w:top w:val="none" w:color="000000" w:sz="4"/>
              <w:left w:val="single" w:color="000000" w:sz="4"/>
              <w:bottom w:val="non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26</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大屏内容监测服务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按需</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jc w:val="center"/>
            </w:pPr>
            <w:r>
              <w:rPr>
                <w:rFonts w:ascii="仿宋" w:hAnsi="仿宋" w:cs="仿宋" w:eastAsia="仿宋"/>
                <w:sz w:val="24"/>
              </w:rPr>
              <w:t>按需提供</w:t>
            </w:r>
          </w:p>
        </w:tc>
      </w:tr>
    </w:tbl>
    <w:p>
      <w:pPr>
        <w:pStyle w:val="null3"/>
        <w:jc w:val="both"/>
      </w:pPr>
      <w:r>
        <w:rPr>
          <w:rFonts w:ascii="仿宋" w:hAnsi="仿宋" w:cs="仿宋" w:eastAsia="仿宋"/>
          <w:sz w:val="24"/>
          <w:b/>
        </w:rPr>
        <w:t>【指标</w:t>
      </w:r>
      <w:r>
        <w:rPr>
          <w:rFonts w:ascii="仿宋" w:hAnsi="仿宋" w:cs="仿宋" w:eastAsia="仿宋"/>
          <w:sz w:val="24"/>
          <w:b/>
        </w:rPr>
        <w:t>5</w:t>
      </w:r>
      <w:r>
        <w:rPr>
          <w:rFonts w:ascii="仿宋" w:hAnsi="仿宋" w:cs="仿宋" w:eastAsia="仿宋"/>
          <w:sz w:val="24"/>
          <w:b/>
        </w:rPr>
        <w:t>0</w:t>
      </w:r>
      <w:r>
        <w:rPr>
          <w:rFonts w:ascii="仿宋" w:hAnsi="仿宋" w:cs="仿宋" w:eastAsia="仿宋"/>
          <w:sz w:val="24"/>
          <w:b/>
        </w:rPr>
        <w:t>】</w:t>
      </w:r>
      <w:r>
        <w:rPr>
          <w:rFonts w:ascii="仿宋" w:hAnsi="仿宋" w:cs="仿宋" w:eastAsia="仿宋"/>
          <w:sz w:val="24"/>
          <w:b/>
        </w:rPr>
        <w:t>★5.运维服务考核</w:t>
      </w:r>
    </w:p>
    <w:p>
      <w:pPr>
        <w:pStyle w:val="null3"/>
        <w:ind w:firstLine="420"/>
        <w:jc w:val="both"/>
      </w:pPr>
      <w:r>
        <w:rPr>
          <w:rFonts w:ascii="仿宋" w:hAnsi="仿宋" w:cs="仿宋" w:eastAsia="仿宋"/>
          <w:sz w:val="24"/>
        </w:rPr>
        <w:t>为保障中标人提供高效的运维服务，采购人将对运维服务进行考核评分，若中标人运维考核结果评分得分低于</w:t>
      </w:r>
      <w:r>
        <w:rPr>
          <w:rFonts w:ascii="仿宋" w:hAnsi="仿宋" w:cs="仿宋" w:eastAsia="仿宋"/>
          <w:sz w:val="24"/>
        </w:rPr>
        <w:t>90分，则需承担相应违约责任。每六个月按以下标准对中标人本周期内的服务情况进行考核评价(总分100分)。</w:t>
      </w:r>
    </w:p>
    <w:p>
      <w:pPr>
        <w:pStyle w:val="null3"/>
        <w:jc w:val="both"/>
      </w:pPr>
      <w:r>
        <w:rPr>
          <w:rFonts w:ascii="仿宋" w:hAnsi="仿宋" w:cs="仿宋" w:eastAsia="仿宋"/>
          <w:sz w:val="24"/>
        </w:rPr>
        <w:t>考核评分表</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1023"/>
        <w:gridCol w:w="1700"/>
        <w:gridCol w:w="1159"/>
        <w:gridCol w:w="4424"/>
      </w:tblGrid>
      <w:tr>
        <w:tc>
          <w:tcPr>
            <w:tcW w:type="dxa" w:w="2723"/>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rPr>
              <w:t>考核内容</w:t>
            </w:r>
          </w:p>
        </w:tc>
        <w:tc>
          <w:tcPr>
            <w:tcW w:type="dxa" w:w="115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rPr>
              <w:t>评分</w:t>
            </w:r>
          </w:p>
        </w:tc>
        <w:tc>
          <w:tcPr>
            <w:tcW w:type="dxa" w:w="442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rPr>
              <w:t>评分标准</w:t>
            </w:r>
          </w:p>
        </w:tc>
      </w:tr>
      <w:tr>
        <w:tc>
          <w:tcPr>
            <w:tcW w:type="dxa" w:w="102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总体</w:t>
            </w:r>
          </w:p>
          <w:p>
            <w:pPr>
              <w:pStyle w:val="null3"/>
              <w:jc w:val="both"/>
            </w:pPr>
            <w:r>
              <w:rPr>
                <w:rFonts w:ascii="仿宋" w:hAnsi="仿宋" w:cs="仿宋" w:eastAsia="仿宋"/>
                <w:sz w:val="24"/>
              </w:rPr>
              <w:t>评价</w:t>
            </w:r>
          </w:p>
        </w:tc>
        <w:tc>
          <w:tcPr>
            <w:tcW w:type="dxa" w:w="17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服务态度（满分</w:t>
            </w:r>
            <w:r>
              <w:rPr>
                <w:rFonts w:ascii="仿宋" w:hAnsi="仿宋" w:cs="仿宋" w:eastAsia="仿宋"/>
                <w:sz w:val="24"/>
              </w:rPr>
              <w:t>10分）</w:t>
            </w:r>
          </w:p>
        </w:tc>
        <w:tc>
          <w:tcPr>
            <w:tcW w:type="dxa" w:w="11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442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服务态度不好，工作推诿，服务用语不文明，被用户投诉一次扣</w:t>
            </w:r>
            <w:r>
              <w:rPr>
                <w:rFonts w:ascii="仿宋" w:hAnsi="仿宋" w:cs="仿宋" w:eastAsia="仿宋"/>
                <w:sz w:val="24"/>
              </w:rPr>
              <w:t>2分；</w:t>
            </w:r>
          </w:p>
        </w:tc>
      </w:tr>
      <w:tr>
        <w:tc>
          <w:tcPr>
            <w:tcW w:type="dxa" w:w="1023"/>
            <w:vMerge/>
            <w:tcBorders>
              <w:top w:val="none" w:color="000000" w:sz="4"/>
              <w:left w:val="single" w:color="000000" w:sz="4"/>
              <w:bottom w:val="single" w:color="000000" w:sz="4"/>
              <w:right w:val="single" w:color="000000" w:sz="4"/>
            </w:tcBorders>
          </w:tcPr>
          <w:p/>
        </w:tc>
        <w:tc>
          <w:tcPr>
            <w:tcW w:type="dxa" w:w="17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响应速度（满分</w:t>
            </w:r>
            <w:r>
              <w:rPr>
                <w:rFonts w:ascii="仿宋" w:hAnsi="仿宋" w:cs="仿宋" w:eastAsia="仿宋"/>
                <w:sz w:val="24"/>
              </w:rPr>
              <w:t>20分）</w:t>
            </w:r>
          </w:p>
        </w:tc>
        <w:tc>
          <w:tcPr>
            <w:tcW w:type="dxa" w:w="11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44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未及时受理安全服务任务等工作，超过</w:t>
            </w:r>
            <w:r>
              <w:rPr>
                <w:rFonts w:ascii="仿宋" w:hAnsi="仿宋" w:cs="仿宋" w:eastAsia="仿宋"/>
                <w:sz w:val="24"/>
              </w:rPr>
              <w:t>1天未回应，每次扣2分；未按照安全事件应急响应时间开展处置工作，每次扣3分；</w:t>
            </w:r>
          </w:p>
        </w:tc>
      </w:tr>
      <w:tr>
        <w:tc>
          <w:tcPr>
            <w:tcW w:type="dxa" w:w="102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具体</w:t>
            </w:r>
          </w:p>
          <w:p>
            <w:pPr>
              <w:pStyle w:val="null3"/>
              <w:jc w:val="both"/>
            </w:pPr>
            <w:r>
              <w:rPr>
                <w:rFonts w:ascii="仿宋" w:hAnsi="仿宋" w:cs="仿宋" w:eastAsia="仿宋"/>
                <w:sz w:val="24"/>
              </w:rPr>
              <w:t>业务</w:t>
            </w:r>
          </w:p>
          <w:p>
            <w:pPr>
              <w:pStyle w:val="null3"/>
              <w:jc w:val="both"/>
            </w:pPr>
            <w:r>
              <w:rPr>
                <w:rFonts w:ascii="仿宋" w:hAnsi="仿宋" w:cs="仿宋" w:eastAsia="仿宋"/>
                <w:sz w:val="24"/>
              </w:rPr>
              <w:t>运维</w:t>
            </w:r>
          </w:p>
          <w:p>
            <w:pPr>
              <w:pStyle w:val="null3"/>
              <w:jc w:val="both"/>
            </w:pPr>
            <w:r>
              <w:rPr>
                <w:rFonts w:ascii="仿宋" w:hAnsi="仿宋" w:cs="仿宋" w:eastAsia="仿宋"/>
                <w:sz w:val="24"/>
              </w:rPr>
              <w:t>服务</w:t>
            </w:r>
          </w:p>
          <w:p>
            <w:pPr>
              <w:pStyle w:val="null3"/>
              <w:jc w:val="both"/>
            </w:pPr>
            <w:r>
              <w:rPr>
                <w:rFonts w:ascii="仿宋" w:hAnsi="仿宋" w:cs="仿宋" w:eastAsia="仿宋"/>
                <w:sz w:val="24"/>
              </w:rPr>
              <w:t>质量</w:t>
            </w:r>
          </w:p>
          <w:p>
            <w:pPr>
              <w:pStyle w:val="null3"/>
              <w:jc w:val="both"/>
            </w:pPr>
            <w:r>
              <w:rPr>
                <w:rFonts w:ascii="仿宋" w:hAnsi="仿宋" w:cs="仿宋" w:eastAsia="仿宋"/>
                <w:sz w:val="24"/>
              </w:rPr>
              <w:t>评价</w:t>
            </w:r>
          </w:p>
        </w:tc>
        <w:tc>
          <w:tcPr>
            <w:tcW w:type="dxa" w:w="17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业务安全检查服务（满分</w:t>
            </w:r>
            <w:r>
              <w:rPr>
                <w:rFonts w:ascii="仿宋" w:hAnsi="仿宋" w:cs="仿宋" w:eastAsia="仿宋"/>
                <w:sz w:val="24"/>
              </w:rPr>
              <w:t>20分）</w:t>
            </w:r>
          </w:p>
        </w:tc>
        <w:tc>
          <w:tcPr>
            <w:tcW w:type="dxa" w:w="11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44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因检查工作开展不当造成办公网络故障，每超过</w:t>
            </w:r>
            <w:r>
              <w:rPr>
                <w:rFonts w:ascii="仿宋" w:hAnsi="仿宋" w:cs="仿宋" w:eastAsia="仿宋"/>
                <w:sz w:val="24"/>
              </w:rPr>
              <w:t>2小时的扣1分，每次最高扣3分；因服务不当造成办公设备损坏的，每次扣3分；不配合做好安全管理工作的，每次扣3分；不配合开展专项活动的，每次扣5分；因安全问题被上级书面通报的，每次扣10分。</w:t>
            </w:r>
          </w:p>
        </w:tc>
      </w:tr>
      <w:tr>
        <w:tc>
          <w:tcPr>
            <w:tcW w:type="dxa" w:w="1023"/>
            <w:vMerge/>
            <w:tcBorders>
              <w:top w:val="none" w:color="000000" w:sz="4"/>
              <w:left w:val="single" w:color="000000" w:sz="4"/>
              <w:bottom w:val="single" w:color="000000" w:sz="4"/>
              <w:right w:val="single" w:color="000000" w:sz="4"/>
            </w:tcBorders>
          </w:tcPr>
          <w:p/>
        </w:tc>
        <w:tc>
          <w:tcPr>
            <w:tcW w:type="dxa" w:w="17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系统安全运维服务（满分</w:t>
            </w:r>
            <w:r>
              <w:rPr>
                <w:rFonts w:ascii="仿宋" w:hAnsi="仿宋" w:cs="仿宋" w:eastAsia="仿宋"/>
                <w:sz w:val="24"/>
              </w:rPr>
              <w:t>20分）</w:t>
            </w:r>
          </w:p>
        </w:tc>
        <w:tc>
          <w:tcPr>
            <w:tcW w:type="dxa" w:w="11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44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因运维工作开展不当造成系统不能正常使用，每超过</w:t>
            </w:r>
            <w:r>
              <w:rPr>
                <w:rFonts w:ascii="仿宋" w:hAnsi="仿宋" w:cs="仿宋" w:eastAsia="仿宋"/>
                <w:sz w:val="24"/>
              </w:rPr>
              <w:t>2小时扣1分，每次最高扣3分；不配合做好安全管理工作的，每次扣3分；不配合开展专项活动的，每次扣5分；因安全问题被上级书面通报的，每次扣5分。</w:t>
            </w:r>
          </w:p>
        </w:tc>
      </w:tr>
      <w:tr>
        <w:tc>
          <w:tcPr>
            <w:tcW w:type="dxa" w:w="1023"/>
            <w:vMerge/>
            <w:tcBorders>
              <w:top w:val="none" w:color="000000" w:sz="4"/>
              <w:left w:val="single" w:color="000000" w:sz="4"/>
              <w:bottom w:val="single" w:color="000000" w:sz="4"/>
              <w:right w:val="single" w:color="000000" w:sz="4"/>
            </w:tcBorders>
          </w:tcPr>
          <w:p/>
        </w:tc>
        <w:tc>
          <w:tcPr>
            <w:tcW w:type="dxa" w:w="17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等保服务（满分</w:t>
            </w:r>
            <w:r>
              <w:rPr>
                <w:rFonts w:ascii="仿宋" w:hAnsi="仿宋" w:cs="仿宋" w:eastAsia="仿宋"/>
                <w:sz w:val="24"/>
              </w:rPr>
              <w:t>15分）</w:t>
            </w:r>
          </w:p>
        </w:tc>
        <w:tc>
          <w:tcPr>
            <w:tcW w:type="dxa" w:w="11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44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未按中心要求及时配合开展等保测评服务工作的，每天扣</w:t>
            </w:r>
            <w:r>
              <w:rPr>
                <w:rFonts w:ascii="仿宋" w:hAnsi="仿宋" w:cs="仿宋" w:eastAsia="仿宋"/>
                <w:sz w:val="24"/>
              </w:rPr>
              <w:t>1分；未及时应答等保咨询服务的，每次扣1分。</w:t>
            </w:r>
          </w:p>
        </w:tc>
      </w:tr>
      <w:tr>
        <w:tc>
          <w:tcPr>
            <w:tcW w:type="dxa" w:w="1023"/>
            <w:vMerge/>
            <w:tcBorders>
              <w:top w:val="none" w:color="000000" w:sz="4"/>
              <w:left w:val="single" w:color="000000" w:sz="4"/>
              <w:bottom w:val="single" w:color="000000" w:sz="4"/>
              <w:right w:val="single" w:color="000000" w:sz="4"/>
            </w:tcBorders>
          </w:tcPr>
          <w:p/>
        </w:tc>
        <w:tc>
          <w:tcPr>
            <w:tcW w:type="dxa" w:w="17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综合服务（满分</w:t>
            </w:r>
            <w:r>
              <w:rPr>
                <w:rFonts w:ascii="仿宋" w:hAnsi="仿宋" w:cs="仿宋" w:eastAsia="仿宋"/>
                <w:sz w:val="24"/>
              </w:rPr>
              <w:t>15分）</w:t>
            </w:r>
          </w:p>
        </w:tc>
        <w:tc>
          <w:tcPr>
            <w:tcW w:type="dxa" w:w="11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44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不配合开展专项活动的，每次扣</w:t>
            </w:r>
            <w:r>
              <w:rPr>
                <w:rFonts w:ascii="仿宋" w:hAnsi="仿宋" w:cs="仿宋" w:eastAsia="仿宋"/>
                <w:sz w:val="24"/>
              </w:rPr>
              <w:t>5分；未及时应答安全咨询服务的，每次扣1分。</w:t>
            </w:r>
          </w:p>
        </w:tc>
      </w:tr>
      <w:tr>
        <w:tc>
          <w:tcPr>
            <w:tcW w:type="dxa" w:w="2723"/>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加分项（不超过</w:t>
            </w:r>
            <w:r>
              <w:rPr>
                <w:rFonts w:ascii="仿宋" w:hAnsi="仿宋" w:cs="仿宋" w:eastAsia="仿宋"/>
                <w:sz w:val="24"/>
              </w:rPr>
              <w:t>10分）</w:t>
            </w:r>
          </w:p>
        </w:tc>
        <w:tc>
          <w:tcPr>
            <w:tcW w:type="dxa" w:w="11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44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维护团队配合完成大项活动，如展会、竞赛等，每项加</w:t>
            </w:r>
            <w:r>
              <w:rPr>
                <w:rFonts w:ascii="仿宋" w:hAnsi="仿宋" w:cs="仿宋" w:eastAsia="仿宋"/>
                <w:sz w:val="24"/>
              </w:rPr>
              <w:t>1-3分；运维方主动提出优化意见或规避重大风险方案的，并获得中心认可的，每项加1-2分。</w:t>
            </w:r>
          </w:p>
        </w:tc>
      </w:tr>
      <w:tr>
        <w:tc>
          <w:tcPr>
            <w:tcW w:type="dxa" w:w="8306"/>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加扣分原因说明：</w:t>
            </w:r>
          </w:p>
        </w:tc>
      </w:tr>
      <w:tr>
        <w:tc>
          <w:tcPr>
            <w:tcW w:type="dxa" w:w="2723"/>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总分</w:t>
            </w:r>
          </w:p>
        </w:tc>
        <w:tc>
          <w:tcPr>
            <w:tcW w:type="dxa" w:w="5583"/>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bl>
    <w:p>
      <w:pPr>
        <w:pStyle w:val="null3"/>
        <w:jc w:val="both"/>
      </w:pPr>
      <w:r>
        <w:rPr>
          <w:rFonts w:ascii="仿宋" w:hAnsi="仿宋" w:cs="仿宋" w:eastAsia="仿宋"/>
          <w:sz w:val="24"/>
        </w:rPr>
        <w:t>运维考核结果与运维费用结算挂钩，具体如下：</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1262"/>
        <w:gridCol w:w="7044"/>
      </w:tblGrid>
      <w:tr>
        <w:tc>
          <w:tcPr>
            <w:tcW w:type="dxa" w:w="1262"/>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both"/>
            </w:pPr>
            <w:r>
              <w:rPr>
                <w:rFonts w:ascii="仿宋" w:hAnsi="仿宋" w:cs="仿宋" w:eastAsia="仿宋"/>
                <w:sz w:val="24"/>
              </w:rPr>
              <w:t>考核得分</w:t>
            </w:r>
          </w:p>
        </w:tc>
        <w:tc>
          <w:tcPr>
            <w:tcW w:type="dxa" w:w="7044"/>
            <w:tcBorders>
              <w:top w:val="sing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both"/>
            </w:pPr>
            <w:r>
              <w:rPr>
                <w:rFonts w:ascii="仿宋" w:hAnsi="仿宋" w:cs="仿宋" w:eastAsia="仿宋"/>
                <w:sz w:val="24"/>
              </w:rPr>
              <w:t>结算标准</w:t>
            </w:r>
          </w:p>
        </w:tc>
      </w:tr>
      <w:tr>
        <w:tc>
          <w:tcPr>
            <w:tcW w:type="dxa" w:w="1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100分</w:t>
            </w:r>
          </w:p>
        </w:tc>
        <w:tc>
          <w:tcPr>
            <w:tcW w:type="dxa" w:w="70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全额结算，给予表扬</w:t>
            </w:r>
          </w:p>
        </w:tc>
      </w:tr>
      <w:tr>
        <w:tc>
          <w:tcPr>
            <w:tcW w:type="dxa" w:w="1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90-99分</w:t>
            </w:r>
          </w:p>
        </w:tc>
        <w:tc>
          <w:tcPr>
            <w:tcW w:type="dxa" w:w="70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全额结算</w:t>
            </w:r>
          </w:p>
        </w:tc>
      </w:tr>
      <w:tr>
        <w:tc>
          <w:tcPr>
            <w:tcW w:type="dxa" w:w="1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89-80分</w:t>
            </w:r>
          </w:p>
        </w:tc>
        <w:tc>
          <w:tcPr>
            <w:tcW w:type="dxa" w:w="70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服务商应支付合同金额</w:t>
            </w:r>
            <w:r>
              <w:rPr>
                <w:rFonts w:ascii="仿宋" w:hAnsi="仿宋" w:cs="仿宋" w:eastAsia="仿宋"/>
                <w:sz w:val="24"/>
              </w:rPr>
              <w:t>5%的违约金，采购人有权从未支付款项中先予扣除</w:t>
            </w:r>
          </w:p>
        </w:tc>
      </w:tr>
      <w:tr>
        <w:tc>
          <w:tcPr>
            <w:tcW w:type="dxa" w:w="1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79-70分</w:t>
            </w:r>
          </w:p>
        </w:tc>
        <w:tc>
          <w:tcPr>
            <w:tcW w:type="dxa" w:w="70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服务商应支付合同金额</w:t>
            </w:r>
            <w:r>
              <w:rPr>
                <w:rFonts w:ascii="仿宋" w:hAnsi="仿宋" w:cs="仿宋" w:eastAsia="仿宋"/>
                <w:sz w:val="24"/>
              </w:rPr>
              <w:t>10%的违约金，采购人有权从未支付款项中先予扣除</w:t>
            </w:r>
          </w:p>
        </w:tc>
      </w:tr>
      <w:tr>
        <w:tc>
          <w:tcPr>
            <w:tcW w:type="dxa" w:w="1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69-60分</w:t>
            </w:r>
          </w:p>
        </w:tc>
        <w:tc>
          <w:tcPr>
            <w:tcW w:type="dxa" w:w="70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服务商应支付合同金额</w:t>
            </w:r>
            <w:r>
              <w:rPr>
                <w:rFonts w:ascii="仿宋" w:hAnsi="仿宋" w:cs="仿宋" w:eastAsia="仿宋"/>
                <w:sz w:val="24"/>
              </w:rPr>
              <w:t>20%的违约金，采购人有权从未支付款项中先予扣除</w:t>
            </w:r>
          </w:p>
        </w:tc>
      </w:tr>
      <w:tr>
        <w:tc>
          <w:tcPr>
            <w:tcW w:type="dxa" w:w="1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59分以下</w:t>
            </w:r>
          </w:p>
        </w:tc>
        <w:tc>
          <w:tcPr>
            <w:tcW w:type="dxa" w:w="70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服务商应支付合同金额</w:t>
            </w:r>
            <w:r>
              <w:rPr>
                <w:rFonts w:ascii="仿宋" w:hAnsi="仿宋" w:cs="仿宋" w:eastAsia="仿宋"/>
                <w:sz w:val="24"/>
              </w:rPr>
              <w:t>50%的违约金，采购人有权从未支付款项中先予扣除</w:t>
            </w:r>
          </w:p>
        </w:tc>
      </w:tr>
    </w:tbl>
    <w:p>
      <w:pPr>
        <w:pStyle w:val="null3"/>
        <w:jc w:val="both"/>
      </w:pPr>
      <w:r>
        <w:rPr>
          <w:rFonts w:ascii="仿宋" w:hAnsi="仿宋" w:cs="仿宋" w:eastAsia="仿宋"/>
          <w:sz w:val="24"/>
        </w:rPr>
        <w:t>项目验收方法：中心</w:t>
      </w:r>
      <w:r>
        <w:rPr>
          <w:rFonts w:ascii="仿宋" w:hAnsi="仿宋" w:cs="仿宋" w:eastAsia="仿宋"/>
          <w:sz w:val="24"/>
        </w:rPr>
        <w:t>综合处、</w:t>
      </w:r>
      <w:r>
        <w:rPr>
          <w:rFonts w:ascii="仿宋" w:hAnsi="仿宋" w:cs="仿宋" w:eastAsia="仿宋"/>
          <w:sz w:val="24"/>
        </w:rPr>
        <w:t>科技教育处对运维服务评价打分，取平均分为项目考核得分。中心采购领导小组召开验收会，形成会议纪要后，作为项目费用支付的依据。</w:t>
      </w:r>
    </w:p>
    <w:p>
      <w:pPr>
        <w:pStyle w:val="null3"/>
        <w:jc w:val="both"/>
        <w:outlineLvl w:val="2"/>
      </w:pPr>
      <w:r>
        <w:rPr>
          <w:sz w:val="28"/>
          <w:b/>
        </w:rPr>
        <w:t>三、商务要求（以“★”标示的内容为不允许负偏离的实质性要求）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自合同签订之日起365日</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福建省福州市鼓楼区东水路18号交通综合大楼栋楼21层</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交货条件</w:t>
            </w:r>
          </w:p>
        </w:tc>
        <w:tc>
          <w:tcPr>
            <w:tcW w:type="dxa" w:w="2076"/>
          </w:tcPr>
          <w:p>
            <w:pPr>
              <w:pStyle w:val="null3"/>
              <w:jc w:val="left"/>
            </w:pPr>
            <w:r>
              <w:rPr/>
              <w:t>经采购人验收合格</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履约验收方式</w:t>
            </w:r>
          </w:p>
        </w:tc>
        <w:tc>
          <w:tcPr>
            <w:tcW w:type="dxa" w:w="2076"/>
          </w:tcPr>
          <w:p>
            <w:pPr>
              <w:pStyle w:val="null3"/>
              <w:jc w:val="left"/>
            </w:pPr>
            <w:r>
              <w:rPr/>
              <w:t>1、期次1，说明：中心执法保障相关业务处室（执法保障一处、执法保障二处、科技教育处）以及地市支队对运维服务评价打分，取平均分为项目考核得分。中心采购领导小组召开验收会，形成会议纪要后，作为项目费用支付的依据。在服务期内，因政策或业务需求发生变动，按实际产生的服务工作量据实结算。</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合同支付方式</w:t>
            </w:r>
          </w:p>
        </w:tc>
        <w:tc>
          <w:tcPr>
            <w:tcW w:type="dxa" w:w="2076"/>
          </w:tcPr>
          <w:p>
            <w:pPr>
              <w:pStyle w:val="null3"/>
              <w:jc w:val="left"/>
            </w:pPr>
            <w:r>
              <w:rPr/>
              <w:t>1、中标人与采购人签订合同后，达到付款条件起15日内，支付合同总金额的50.00%</w:t>
            </w:r>
          </w:p>
          <w:p>
            <w:pPr>
              <w:pStyle w:val="null3"/>
              <w:jc w:val="left"/>
            </w:pPr>
            <w:r>
              <w:rPr/>
              <w:t>2、服务期满12个月经验收合格且考核得分在90分以上的，达到付款条件起15日内，支付合同总金额的50.00%</w:t>
            </w:r>
          </w:p>
        </w:tc>
      </w:tr>
      <w:tr>
        <w:tc>
          <w:tcPr>
            <w:tcW w:type="dxa" w:w="2076"/>
          </w:tcPr>
          <w:p>
            <w:pPr>
              <w:pStyle w:val="null3"/>
              <w:jc w:val="left"/>
            </w:pPr>
            <w:r>
              <w:rPr/>
              <w:t>7</w:t>
            </w:r>
          </w:p>
        </w:tc>
        <w:tc>
          <w:tcPr>
            <w:tcW w:type="dxa" w:w="2076"/>
          </w:tcPr>
          <w:p>
            <w:pPr>
              <w:pStyle w:val="null3"/>
              <w:jc w:val="left"/>
            </w:pPr>
            <w:r>
              <w:rPr/>
              <w:t>★</w:t>
            </w:r>
          </w:p>
        </w:tc>
        <w:tc>
          <w:tcPr>
            <w:tcW w:type="dxa" w:w="2076"/>
          </w:tcPr>
          <w:p>
            <w:pPr>
              <w:pStyle w:val="null3"/>
              <w:jc w:val="left"/>
            </w:pPr>
            <w:r>
              <w:rPr/>
              <w:t>履约保证金</w:t>
            </w:r>
          </w:p>
        </w:tc>
        <w:tc>
          <w:tcPr>
            <w:tcW w:type="dxa" w:w="2076"/>
          </w:tcPr>
          <w:p>
            <w:pPr>
              <w:pStyle w:val="null3"/>
              <w:jc w:val="left"/>
            </w:pPr>
            <w:r>
              <w:rPr/>
              <w:t>不缴纳</w:t>
            </w:r>
          </w:p>
        </w:tc>
      </w:tr>
      <w:tr>
        <w:tc>
          <w:tcPr>
            <w:tcW w:type="dxa" w:w="2076"/>
          </w:tcPr>
          <w:p>
            <w:pPr>
              <w:pStyle w:val="null3"/>
              <w:jc w:val="left"/>
            </w:pPr>
            <w:r>
              <w:rPr/>
              <w:t>8</w:t>
            </w:r>
          </w:p>
        </w:tc>
        <w:tc>
          <w:tcPr>
            <w:tcW w:type="dxa" w:w="2076"/>
          </w:tcPr>
          <w:p>
            <w:pPr>
              <w:pStyle w:val="null3"/>
              <w:jc w:val="left"/>
            </w:pPr>
            <w:r>
              <w:rPr/>
              <w:t>★</w:t>
            </w:r>
          </w:p>
        </w:tc>
        <w:tc>
          <w:tcPr>
            <w:tcW w:type="dxa" w:w="2076"/>
          </w:tcPr>
          <w:p>
            <w:pPr>
              <w:pStyle w:val="null3"/>
              <w:jc w:val="left"/>
            </w:pPr>
            <w:r>
              <w:rPr/>
              <w:t>其他</w:t>
            </w:r>
          </w:p>
        </w:tc>
        <w:tc>
          <w:tcPr>
            <w:tcW w:type="dxa" w:w="2076"/>
          </w:tcPr>
          <w:p>
            <w:pPr>
              <w:pStyle w:val="null3"/>
              <w:jc w:val="left"/>
            </w:pPr>
            <w:r>
              <w:rPr/>
              <w:t>中标人与采购人签订合同后，采购人支付合同金额50%的预付款；服务期满，经验收合格且考核得分在90分以上的，采购人支付合同金额50%的进度款，低于90分的按相应结算标准付款。 需满足投标人日常需求及上级政策调整时，做好对接工作。（本项与合同支付方式不一致时，以本项为准。）</w:t>
            </w:r>
          </w:p>
        </w:tc>
      </w:tr>
    </w:tbl>
    <w:p>
      <w:pPr>
        <w:pStyle w:val="null3"/>
        <w:jc w:val="left"/>
      </w:pPr>
      <w:r>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自合同签订之日起365日</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福建省福州市鼓楼区东水路18号交通综合大楼栋楼21层</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交货条件</w:t>
            </w:r>
          </w:p>
        </w:tc>
        <w:tc>
          <w:tcPr>
            <w:tcW w:type="dxa" w:w="2076"/>
          </w:tcPr>
          <w:p>
            <w:pPr>
              <w:pStyle w:val="null3"/>
              <w:jc w:val="left"/>
            </w:pPr>
            <w:r>
              <w:rPr/>
              <w:t>经采购人验收合格</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履约验收方式</w:t>
            </w:r>
          </w:p>
        </w:tc>
        <w:tc>
          <w:tcPr>
            <w:tcW w:type="dxa" w:w="2076"/>
          </w:tcPr>
          <w:p>
            <w:pPr>
              <w:pStyle w:val="null3"/>
              <w:jc w:val="left"/>
            </w:pPr>
            <w:r>
              <w:rPr/>
              <w:t>1、期次1，说明：中心各处室对运维服务评价打分，取平均分为项目考核得分。中心采购领导小组召开验收会，形成会议纪要，作为项目费用支付的依据。在服务期内，因政策或业务需求发生变动，按实际产生的服务工作量据实结算。</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合同支付方式</w:t>
            </w:r>
          </w:p>
        </w:tc>
        <w:tc>
          <w:tcPr>
            <w:tcW w:type="dxa" w:w="2076"/>
          </w:tcPr>
          <w:p>
            <w:pPr>
              <w:pStyle w:val="null3"/>
              <w:jc w:val="left"/>
            </w:pPr>
            <w:r>
              <w:rPr/>
              <w:t>1、中标人与采购人签订合同后，达到付款条件起15日内，支付合同总金额的50.00%</w:t>
            </w:r>
          </w:p>
          <w:p>
            <w:pPr>
              <w:pStyle w:val="null3"/>
              <w:jc w:val="left"/>
            </w:pPr>
            <w:r>
              <w:rPr/>
              <w:t>2、服务期满12个月经验收合格且考核得分在90分以上的，达到付款条件起15日内，支付合同总金额的50.00%</w:t>
            </w:r>
          </w:p>
        </w:tc>
      </w:tr>
      <w:tr>
        <w:tc>
          <w:tcPr>
            <w:tcW w:type="dxa" w:w="2076"/>
          </w:tcPr>
          <w:p>
            <w:pPr>
              <w:pStyle w:val="null3"/>
              <w:jc w:val="left"/>
            </w:pPr>
            <w:r>
              <w:rPr/>
              <w:t>7</w:t>
            </w:r>
          </w:p>
        </w:tc>
        <w:tc>
          <w:tcPr>
            <w:tcW w:type="dxa" w:w="2076"/>
          </w:tcPr>
          <w:p>
            <w:pPr>
              <w:pStyle w:val="null3"/>
              <w:jc w:val="left"/>
            </w:pPr>
            <w:r>
              <w:rPr/>
              <w:t>★</w:t>
            </w:r>
          </w:p>
        </w:tc>
        <w:tc>
          <w:tcPr>
            <w:tcW w:type="dxa" w:w="2076"/>
          </w:tcPr>
          <w:p>
            <w:pPr>
              <w:pStyle w:val="null3"/>
              <w:jc w:val="left"/>
            </w:pPr>
            <w:r>
              <w:rPr/>
              <w:t>履约保证金</w:t>
            </w:r>
          </w:p>
        </w:tc>
        <w:tc>
          <w:tcPr>
            <w:tcW w:type="dxa" w:w="2076"/>
          </w:tcPr>
          <w:p>
            <w:pPr>
              <w:pStyle w:val="null3"/>
              <w:jc w:val="left"/>
            </w:pPr>
            <w:r>
              <w:rPr/>
              <w:t>不缴纳</w:t>
            </w:r>
          </w:p>
        </w:tc>
      </w:tr>
      <w:tr>
        <w:tc>
          <w:tcPr>
            <w:tcW w:type="dxa" w:w="2076"/>
          </w:tcPr>
          <w:p>
            <w:pPr>
              <w:pStyle w:val="null3"/>
              <w:jc w:val="left"/>
            </w:pPr>
            <w:r>
              <w:rPr/>
              <w:t>8</w:t>
            </w:r>
          </w:p>
        </w:tc>
        <w:tc>
          <w:tcPr>
            <w:tcW w:type="dxa" w:w="2076"/>
          </w:tcPr>
          <w:p>
            <w:pPr>
              <w:pStyle w:val="null3"/>
              <w:jc w:val="left"/>
            </w:pPr>
            <w:r>
              <w:rPr/>
              <w:t>★</w:t>
            </w:r>
          </w:p>
        </w:tc>
        <w:tc>
          <w:tcPr>
            <w:tcW w:type="dxa" w:w="2076"/>
          </w:tcPr>
          <w:p>
            <w:pPr>
              <w:pStyle w:val="null3"/>
              <w:jc w:val="left"/>
            </w:pPr>
            <w:r>
              <w:rPr/>
              <w:t>其他</w:t>
            </w:r>
          </w:p>
        </w:tc>
        <w:tc>
          <w:tcPr>
            <w:tcW w:type="dxa" w:w="2076"/>
          </w:tcPr>
          <w:p>
            <w:pPr>
              <w:pStyle w:val="null3"/>
              <w:jc w:val="left"/>
            </w:pPr>
            <w:r>
              <w:rPr/>
              <w:t>中标人与采购人签订合同后，采购人支付合同金额50%的预付款；服务期满，经验收合格且考核得分在90分以上的，采购人支付合同金额50%的进度款，低于90分的按相应结算标准付款。 需满足投标人日常需求及上级政策调整时，做好对接工作。（本项与合同支付方式不一致时，以本项为准。）</w:t>
            </w:r>
          </w:p>
        </w:tc>
      </w:tr>
    </w:tbl>
    <w:p>
      <w:pPr>
        <w:pStyle w:val="null3"/>
        <w:jc w:val="left"/>
      </w:pPr>
      <w:r>
        <w:rPr/>
        <w:t>采购包3：</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自合同签订之日起365日</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福建省福州市鼓楼区东水路18号交通综合大楼栋楼21层</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交货条件</w:t>
            </w:r>
          </w:p>
        </w:tc>
        <w:tc>
          <w:tcPr>
            <w:tcW w:type="dxa" w:w="2076"/>
          </w:tcPr>
          <w:p>
            <w:pPr>
              <w:pStyle w:val="null3"/>
              <w:jc w:val="left"/>
            </w:pPr>
            <w:r>
              <w:rPr/>
              <w:t>经采购人验收合格</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履约验收方式</w:t>
            </w:r>
          </w:p>
        </w:tc>
        <w:tc>
          <w:tcPr>
            <w:tcW w:type="dxa" w:w="2076"/>
          </w:tcPr>
          <w:p>
            <w:pPr>
              <w:pStyle w:val="null3"/>
              <w:jc w:val="left"/>
            </w:pPr>
            <w:r>
              <w:rPr/>
              <w:t>1、期次1，说明：中心综合处、科技教育处对运维服务评价打分，取平均分为项目考核得分。中心采购领导小组召开验收会，形成会议纪要后，作为项目费用支付的依据。在服务期内，因政策或业务需求发生变动，按实际产生的服务工作量据实结算。</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合同支付方式</w:t>
            </w:r>
          </w:p>
        </w:tc>
        <w:tc>
          <w:tcPr>
            <w:tcW w:type="dxa" w:w="2076"/>
          </w:tcPr>
          <w:p>
            <w:pPr>
              <w:pStyle w:val="null3"/>
              <w:jc w:val="left"/>
            </w:pPr>
            <w:r>
              <w:rPr/>
              <w:t>1、中标人与采购人签订合同后，达到付款条件起15日内，支付合同总金额的50.00%</w:t>
            </w:r>
          </w:p>
          <w:p>
            <w:pPr>
              <w:pStyle w:val="null3"/>
              <w:jc w:val="left"/>
            </w:pPr>
            <w:r>
              <w:rPr/>
              <w:t>2、服务期满12个月经验收合格且考核得分在90分以上的，达到付款条件起15日内，支付合同总金额的50.00%</w:t>
            </w:r>
          </w:p>
        </w:tc>
      </w:tr>
      <w:tr>
        <w:tc>
          <w:tcPr>
            <w:tcW w:type="dxa" w:w="2076"/>
          </w:tcPr>
          <w:p>
            <w:pPr>
              <w:pStyle w:val="null3"/>
              <w:jc w:val="left"/>
            </w:pPr>
            <w:r>
              <w:rPr/>
              <w:t>7</w:t>
            </w:r>
          </w:p>
        </w:tc>
        <w:tc>
          <w:tcPr>
            <w:tcW w:type="dxa" w:w="2076"/>
          </w:tcPr>
          <w:p>
            <w:pPr>
              <w:pStyle w:val="null3"/>
              <w:jc w:val="left"/>
            </w:pPr>
            <w:r>
              <w:rPr/>
              <w:t>★</w:t>
            </w:r>
          </w:p>
        </w:tc>
        <w:tc>
          <w:tcPr>
            <w:tcW w:type="dxa" w:w="2076"/>
          </w:tcPr>
          <w:p>
            <w:pPr>
              <w:pStyle w:val="null3"/>
              <w:jc w:val="left"/>
            </w:pPr>
            <w:r>
              <w:rPr/>
              <w:t>履约保证金</w:t>
            </w:r>
          </w:p>
        </w:tc>
        <w:tc>
          <w:tcPr>
            <w:tcW w:type="dxa" w:w="2076"/>
          </w:tcPr>
          <w:p>
            <w:pPr>
              <w:pStyle w:val="null3"/>
              <w:jc w:val="left"/>
            </w:pPr>
            <w:r>
              <w:rPr/>
              <w:t>不缴纳</w:t>
            </w:r>
          </w:p>
        </w:tc>
      </w:tr>
      <w:tr>
        <w:tc>
          <w:tcPr>
            <w:tcW w:type="dxa" w:w="2076"/>
          </w:tcPr>
          <w:p>
            <w:pPr>
              <w:pStyle w:val="null3"/>
              <w:jc w:val="left"/>
            </w:pPr>
            <w:r>
              <w:rPr/>
              <w:t>8</w:t>
            </w:r>
          </w:p>
        </w:tc>
        <w:tc>
          <w:tcPr>
            <w:tcW w:type="dxa" w:w="2076"/>
          </w:tcPr>
          <w:p>
            <w:pPr>
              <w:pStyle w:val="null3"/>
              <w:jc w:val="left"/>
            </w:pPr>
            <w:r>
              <w:rPr/>
              <w:t>★</w:t>
            </w:r>
          </w:p>
        </w:tc>
        <w:tc>
          <w:tcPr>
            <w:tcW w:type="dxa" w:w="2076"/>
          </w:tcPr>
          <w:p>
            <w:pPr>
              <w:pStyle w:val="null3"/>
              <w:jc w:val="left"/>
            </w:pPr>
            <w:r>
              <w:rPr/>
              <w:t>其他</w:t>
            </w:r>
          </w:p>
        </w:tc>
        <w:tc>
          <w:tcPr>
            <w:tcW w:type="dxa" w:w="2076"/>
          </w:tcPr>
          <w:p>
            <w:pPr>
              <w:pStyle w:val="null3"/>
              <w:jc w:val="left"/>
            </w:pPr>
            <w:r>
              <w:rPr/>
              <w:t>中标人与采购人签订合同后，采购人支付合同金额50%的预付款；服务期满，经验收合格且考核得分在90分以上的，采购人支付合同金额50%的进度款，低于90分的按相应结算标准付款。 需满足投标人日常需求及上级政策调整时，做好对接工作。（本项与合同支付方式不一致时，以本项为准。）</w:t>
            </w:r>
          </w:p>
        </w:tc>
      </w:tr>
    </w:tbl>
    <w:p>
      <w:pPr>
        <w:pStyle w:val="null3"/>
        <w:jc w:val="left"/>
      </w:pPr>
      <w:r>
        <w:rPr/>
        <w:t>其他商务要求</w:t>
      </w:r>
    </w:p>
    <w:p>
      <w:pPr>
        <w:pStyle w:val="null3"/>
        <w:ind w:firstLine="480"/>
        <w:jc w:val="left"/>
      </w:pPr>
      <w:r>
        <w:rPr>
          <w:rFonts w:ascii="仿宋" w:hAnsi="仿宋" w:cs="仿宋" w:eastAsia="仿宋"/>
        </w:rPr>
        <w:t>适用于所有采购包：</w:t>
      </w:r>
    </w:p>
    <w:p>
      <w:pPr>
        <w:pStyle w:val="null3"/>
        <w:ind w:firstLine="480"/>
        <w:jc w:val="left"/>
      </w:pPr>
      <w:r>
        <w:rPr>
          <w:rFonts w:ascii="仿宋" w:hAnsi="仿宋" w:cs="仿宋" w:eastAsia="仿宋"/>
        </w:rPr>
        <w:t>★</w:t>
      </w:r>
      <w:r>
        <w:rPr>
          <w:rFonts w:ascii="仿宋" w:hAnsi="仿宋" w:cs="仿宋" w:eastAsia="仿宋"/>
          <w:shd w:fill="FFFFFF" w:val="clear"/>
        </w:rPr>
        <w:t>9、违约责任</w:t>
      </w:r>
    </w:p>
    <w:p>
      <w:pPr>
        <w:pStyle w:val="null3"/>
        <w:ind w:firstLine="480"/>
        <w:jc w:val="both"/>
      </w:pPr>
      <w:r>
        <w:rPr>
          <w:rFonts w:ascii="仿宋" w:hAnsi="仿宋" w:cs="仿宋" w:eastAsia="仿宋"/>
        </w:rPr>
        <w:t>★9.1中标人必须严格按合同约定完成服务。如果中标人有任一项未能按合同约定的时间完成采购人要求的服务的，采购人有权要求中标人支付延期违约金，延期违约金采购人有权从合同款中直接扣除。延期违约金为每逾期1天，按合同总金额0.5%支付违约金。中标人无正当理由超过约定日期仍不能按合同约定提供服务的，视为“中标人不按合同约定履约”。</w:t>
      </w:r>
    </w:p>
    <w:p>
      <w:pPr>
        <w:pStyle w:val="null3"/>
        <w:ind w:firstLine="480"/>
        <w:jc w:val="both"/>
      </w:pPr>
      <w:r>
        <w:rPr>
          <w:rFonts w:ascii="仿宋" w:hAnsi="仿宋" w:cs="仿宋" w:eastAsia="仿宋"/>
        </w:rPr>
        <w:t>★9.2中标人所履行的服务不符合合同规定及《采购文件》规定标准的，采购人有权拒绝，中标人愿意整改但逾期履行的，按中标人逾期履行处理。中标人拒绝整改的，视为“中标人不按合同约定履约”。</w:t>
      </w:r>
    </w:p>
    <w:p>
      <w:pPr>
        <w:pStyle w:val="null3"/>
        <w:ind w:firstLine="480"/>
        <w:jc w:val="both"/>
      </w:pPr>
      <w:r>
        <w:rPr>
          <w:rFonts w:ascii="仿宋" w:hAnsi="仿宋" w:cs="仿宋" w:eastAsia="仿宋"/>
        </w:rPr>
        <w:t>★9.3中标人所履行的服务不符合合同规定及《采购文件》规定标准的，采购人有权拒绝中标人的整改申请，并视为“中标人不按合同约定履约”。</w:t>
      </w:r>
    </w:p>
    <w:p>
      <w:pPr>
        <w:pStyle w:val="null3"/>
        <w:ind w:firstLine="480"/>
        <w:jc w:val="both"/>
      </w:pPr>
      <w:r>
        <w:rPr>
          <w:rFonts w:ascii="仿宋" w:hAnsi="仿宋" w:cs="仿宋" w:eastAsia="仿宋"/>
        </w:rPr>
        <w:t>★9.4中标人未能履行合同和招标文件、投标文件规定的其他任何义务和承诺的，均视为“中标人不按合同约定履约”</w:t>
      </w:r>
    </w:p>
    <w:p>
      <w:pPr>
        <w:pStyle w:val="null3"/>
        <w:ind w:firstLine="480"/>
        <w:jc w:val="both"/>
      </w:pPr>
      <w:r>
        <w:rPr>
          <w:rFonts w:ascii="仿宋" w:hAnsi="仿宋" w:cs="仿宋" w:eastAsia="仿宋"/>
        </w:rPr>
        <w:t>★9.5中标人不按合同约定履约的，采购人可以解除采购合同，中标人应按合同总金额的10%支付违约金。若上述违约金不足以弥补采购人损失的，中标人还应承担赔偿责任。</w:t>
      </w:r>
    </w:p>
    <w:p>
      <w:pPr>
        <w:pStyle w:val="null3"/>
        <w:ind w:firstLine="480"/>
        <w:jc w:val="both"/>
      </w:pPr>
      <w:r>
        <w:rPr>
          <w:rFonts w:ascii="仿宋" w:hAnsi="仿宋" w:cs="仿宋" w:eastAsia="仿宋"/>
        </w:rPr>
        <w:t>★9.6若中标人单方面解除合同，则采购人有权要求中标人按合同总金额的10%支付违约金。若上述违约金不足以弥补采购人损失的，中标人还应承担赔偿责任。</w:t>
      </w:r>
    </w:p>
    <w:p>
      <w:pPr>
        <w:pStyle w:val="null3"/>
        <w:ind w:firstLine="480"/>
        <w:jc w:val="both"/>
      </w:pPr>
      <w:r>
        <w:rPr>
          <w:rFonts w:ascii="仿宋" w:hAnsi="仿宋" w:cs="仿宋" w:eastAsia="仿宋"/>
        </w:rPr>
        <w:t>★9.7中标人在履行合同过程中应遵守法律法规的相关规定，并保障参与人员的人身和财产安全。若中标人履行合同过程中给己方、采购人或第三方造成人身财产损害，一切责任由中标人承担，因此给采购人造成损失的，中标人应承担全部赔偿责任。若上述违约金不足以弥补采购人损失的，中标人还应承担赔偿责任。</w:t>
      </w:r>
    </w:p>
    <w:p>
      <w:pPr>
        <w:pStyle w:val="null3"/>
        <w:ind w:firstLine="480"/>
        <w:jc w:val="both"/>
      </w:pPr>
      <w:r>
        <w:rPr>
          <w:rFonts w:ascii="仿宋" w:hAnsi="仿宋" w:cs="仿宋" w:eastAsia="仿宋"/>
        </w:rPr>
        <w:t>★9.8服务过程中，若中标人未能依约提供服务，采购人有权另请第三方提供服务，相应的费用由中标人承担，采购人有权直接从应付款中扣除。</w:t>
      </w:r>
    </w:p>
    <w:p>
      <w:pPr>
        <w:pStyle w:val="null3"/>
        <w:ind w:firstLine="492"/>
      </w:pPr>
      <w:r>
        <w:rPr>
          <w:rFonts w:ascii="仿宋" w:hAnsi="仿宋" w:cs="仿宋" w:eastAsia="仿宋"/>
        </w:rPr>
        <w:t>★10.中标人对采购和合同履行过程中所获悉的国家秘密、工作秘密、商业秘密或者其他应当保密的信息，有保密义务且不受合同有效期所限，直至该信息成为公开信息。泄露、不正当地使用国家秘密、工作秘密、商业秘密或者其他应当保密的信息，应当承担相应责任。中标人违反前述约定，给采购人造成损失的，应赔偿采购人一切损失。</w:t>
      </w:r>
    </w:p>
    <w:p>
      <w:pPr>
        <w:pStyle w:val="null3"/>
        <w:ind w:firstLine="480"/>
        <w:jc w:val="both"/>
      </w:pPr>
      <w:r>
        <w:rPr>
          <w:rFonts w:ascii="仿宋" w:hAnsi="仿宋" w:cs="仿宋" w:eastAsia="仿宋"/>
        </w:rPr>
        <w:t>★11、本项目不允许中标人以任何名义和理由进行转包，如有发现，视为中标人违约，采购人有权单方解除合同，要求中标人按合同总金额的10%支付违约金，违约金不足以弥补采购人损失的，中标人还应承担赔偿责任。</w:t>
      </w:r>
    </w:p>
    <w:p>
      <w:pPr>
        <w:pStyle w:val="null3"/>
        <w:jc w:val="both"/>
        <w:outlineLvl w:val="2"/>
      </w:pPr>
      <w:r>
        <w:rPr>
          <w:sz w:val="28"/>
          <w:b/>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r>
        <w:rPr/>
        <w:t>无</w:t>
      </w:r>
    </w:p>
    <w:p>
      <w:pPr>
        <w:pStyle w:val="null3"/>
      </w:pPr>
      <w:r>
        <w:rPr/>
        <w:t xml:space="preserve"> </w:t>
        <w:br/>
        <w:br w:type="page"/>
      </w:r>
    </w:p>
    <w:p>
      <w:pPr>
        <w:pStyle w:val="null3"/>
        <w:jc w:val="center"/>
        <w:outlineLvl w:val="1"/>
      </w:pPr>
      <w:r>
        <w:rPr>
          <w:sz w:val="36"/>
          <w:b/>
        </w:rPr>
        <w:t>第六章 政府采购合同</w:t>
      </w:r>
    </w:p>
    <w:p>
      <w:pPr>
        <w:pStyle w:val="null3"/>
        <w:jc w:val="center"/>
        <w:outlineLvl w:val="2"/>
      </w:pPr>
      <w:r>
        <w:rPr>
          <w:sz w:val="28"/>
          <w:b/>
        </w:rPr>
        <w:t>参考文本</w:t>
      </w:r>
    </w:p>
    <w:p>
      <w:pPr>
        <w:pStyle w:val="null3"/>
        <w:jc w:val="left"/>
      </w:pPr>
      <w:r>
        <w:rPr/>
        <w:t>合同编号：</w:t>
      </w:r>
    </w:p>
    <w:p>
      <w:pPr>
        <w:pStyle w:val="null3"/>
        <w:jc w:val="center"/>
        <w:outlineLvl w:val="1"/>
      </w:pPr>
      <w:r>
        <w:rPr>
          <w:sz w:val="36"/>
          <w:b/>
        </w:rPr>
        <w:t xml:space="preserve"> 福建省政府采购合同（服务类）</w:t>
      </w:r>
    </w:p>
    <w:p>
      <w:pPr>
        <w:pStyle w:val="null3"/>
        <w:jc w:val="center"/>
        <w:outlineLvl w:val="3"/>
      </w:pPr>
      <w:r>
        <w:rPr>
          <w:sz w:val="24"/>
          <w:b/>
        </w:rPr>
        <w:t>编制说明</w:t>
      </w:r>
      <w:r>
        <w:br/>
      </w:r>
    </w:p>
    <w:p>
      <w:pPr>
        <w:pStyle w:val="null3"/>
        <w:jc w:val="left"/>
        <w:outlineLvl w:val="3"/>
      </w:pPr>
      <w:r>
        <w:rPr>
          <w:sz w:val="24"/>
          <w:b/>
        </w:rPr>
        <w:t xml:space="preserve"> 1.签订合同应遵守《中华人民共和国政府采购法》及其实施条例、《中华人民共和国民法典》等法律法规及其他有关规定。</w:t>
      </w:r>
    </w:p>
    <w:p>
      <w:pPr>
        <w:pStyle w:val="null3"/>
        <w:jc w:val="left"/>
        <w:outlineLvl w:val="3"/>
      </w:pPr>
      <w:r>
        <w:rPr>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sz w:val="24"/>
          <w:b/>
        </w:rPr>
        <w:t xml:space="preserve"> 3.政府有关主管部门对若干合同有规范文本的，可使用相应合同文本。</w:t>
      </w:r>
    </w:p>
    <w:p>
      <w:pPr>
        <w:pStyle w:val="null3"/>
        <w:jc w:val="left"/>
        <w:outlineLvl w:val="3"/>
      </w:pPr>
      <w:r>
        <w:rPr>
          <w:sz w:val="24"/>
          <w:b/>
        </w:rPr>
        <w:t xml:space="preserve"> 4.本合同范本仅供参考，采购人应当根据采购项目的实际需求对合同条款进行修改、补充。</w:t>
      </w:r>
    </w:p>
    <w:p>
      <w:pPr>
        <w:pStyle w:val="null3"/>
        <w:ind w:left="0"/>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sz w:val="24"/>
          <w:b/>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sz w:val="24"/>
          <w:b/>
        </w:rPr>
        <w:t xml:space="preserve"> 二、合同标的</w:t>
      </w:r>
      <w:r>
        <w:br/>
      </w:r>
    </w:p>
    <w:p>
      <w:pPr>
        <w:pStyle w:val="null3"/>
        <w:jc w:val="left"/>
        <w:outlineLvl w:val="3"/>
      </w:pPr>
      <w:r>
        <w:rPr>
          <w:sz w:val="24"/>
          <w:b/>
        </w:rPr>
        <w:t xml:space="preserve"> 三、价格形式及合同价款</w:t>
      </w:r>
    </w:p>
    <w:p>
      <w:pPr>
        <w:pStyle w:val="null3"/>
        <w:jc w:val="left"/>
        <w:outlineLvl w:val="4"/>
      </w:pPr>
      <w:r>
        <w:rPr>
          <w:sz w:val="20"/>
          <w:b/>
        </w:rPr>
        <w:t xml:space="preserve"> 3.1价格形式</w:t>
      </w:r>
    </w:p>
    <w:p>
      <w:pPr>
        <w:pStyle w:val="null3"/>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outlineLvl w:val="4"/>
      </w:pPr>
      <w:r>
        <w:rPr>
          <w:sz w:val="20"/>
          <w:b/>
        </w:rPr>
        <w:t xml:space="preserve"> 3.2合同价款包含范围</w:t>
      </w:r>
    </w:p>
    <w:p>
      <w:pPr>
        <w:pStyle w:val="null3"/>
        <w:jc w:val="left"/>
        <w:outlineLvl w:val="4"/>
      </w:pPr>
      <w:r>
        <w:rPr>
          <w:sz w:val="20"/>
          <w:b/>
        </w:rPr>
        <w:t xml:space="preserve"> 3.3其他需说明的事项：</w:t>
      </w:r>
    </w:p>
    <w:p>
      <w:pPr>
        <w:pStyle w:val="null3"/>
        <w:jc w:val="left"/>
        <w:outlineLvl w:val="3"/>
      </w:pPr>
      <w:r>
        <w:rPr>
          <w:sz w:val="24"/>
          <w:b/>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sz w:val="24"/>
          <w:b/>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sz w:val="24"/>
          <w:b/>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sz w:val="24"/>
          <w:b/>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sz w:val="24"/>
          <w:b/>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sz w:val="24"/>
          <w:b/>
        </w:rPr>
        <w:t xml:space="preserve"> 九、资金支付方式、时间和条件</w:t>
      </w:r>
      <w:r>
        <w:br/>
      </w:r>
    </w:p>
    <w:p>
      <w:pPr>
        <w:pStyle w:val="null3"/>
        <w:jc w:val="left"/>
        <w:outlineLvl w:val="3"/>
      </w:pPr>
      <w:r>
        <w:rPr>
          <w:sz w:val="24"/>
          <w:b/>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sz w:val="24"/>
          <w:b/>
        </w:rPr>
        <w:t xml:space="preserve"> 十一、合同期限</w:t>
      </w:r>
      <w:r>
        <w:br/>
      </w:r>
    </w:p>
    <w:p>
      <w:pPr>
        <w:pStyle w:val="null3"/>
        <w:jc w:val="left"/>
        <w:outlineLvl w:val="3"/>
      </w:pPr>
      <w:r>
        <w:rPr>
          <w:sz w:val="24"/>
          <w:b/>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sz w:val="24"/>
          <w:b/>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sz w:val="24"/>
          <w:b/>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sz w:val="24"/>
          <w:b/>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sz w:val="24"/>
          <w:b/>
        </w:rPr>
        <w:t xml:space="preserve"> 十六、合同其他条款</w:t>
      </w:r>
      <w:r>
        <w:br/>
      </w:r>
    </w:p>
    <w:p>
      <w:pPr>
        <w:pStyle w:val="null3"/>
        <w:jc w:val="left"/>
        <w:outlineLvl w:val="3"/>
      </w:pPr>
      <w:r>
        <w:rPr>
          <w:sz w:val="24"/>
          <w:b/>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，甲方应及时将资金支付到本合同乙方账号。</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sz w:val="24"/>
          <w:b/>
        </w:rPr>
        <w:t xml:space="preserve"> 十八、合同附件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_____________</w:t>
      </w:r>
    </w:p>
    <w:p>
      <w:pPr>
        <w:pStyle w:val="null3"/>
        <w:jc w:val="left"/>
      </w:pPr>
      <w:r>
        <w:rPr/>
        <w:t>签订日期：</w:t>
      </w:r>
      <w:r>
        <w:rPr/>
        <w:t>____年___月___日</w:t>
      </w:r>
    </w:p>
    <w:p>
      <w:pPr>
        <w:pStyle w:val="null3"/>
      </w:pPr>
      <w:r>
        <w:rPr/>
        <w:t xml:space="preserve"> </w:t>
        <w:br/>
        <w:br w:type="page"/>
      </w:r>
    </w:p>
    <w:p>
      <w:pPr>
        <w:pStyle w:val="null3"/>
        <w:jc w:val="center"/>
        <w:outlineLvl w:val="1"/>
      </w:pPr>
      <w:r>
        <w:rPr>
          <w:sz w:val="36"/>
          <w:b/>
        </w:rPr>
        <w:t>第七章 电子投标文件格式</w:t>
      </w:r>
    </w:p>
    <w:p>
      <w:pPr>
        <w:pStyle w:val="null3"/>
        <w:jc w:val="center"/>
        <w:outlineLvl w:val="2"/>
      </w:pPr>
      <w:r>
        <w:rPr>
          <w:sz w:val="28"/>
          <w:b/>
        </w:rPr>
        <w:t>编制说明</w:t>
      </w:r>
    </w:p>
    <w:p>
      <w:pPr>
        <w:pStyle w:val="null3"/>
        <w:ind w:firstLine="480"/>
        <w:jc w:val="left"/>
      </w:pPr>
      <w:r>
        <w:rPr/>
        <w:t>1、除招标文件另有规定外，本章中：</w:t>
      </w:r>
    </w:p>
    <w:p>
      <w:pPr>
        <w:pStyle w:val="null3"/>
        <w:ind w:firstLine="480"/>
        <w:jc w:val="left"/>
      </w:pPr>
      <w:r>
        <w:rPr/>
        <w:t>1.1涉及投标人的“全称”：</w:t>
      </w:r>
    </w:p>
    <w:p>
      <w:pPr>
        <w:pStyle w:val="null3"/>
        <w:ind w:firstLine="480"/>
        <w:jc w:val="left"/>
      </w:pPr>
      <w:r>
        <w:rPr/>
        <w:t>（1）不接受联合体投标的，指投标人的全称。</w:t>
      </w:r>
    </w:p>
    <w:p>
      <w:pPr>
        <w:pStyle w:val="null3"/>
        <w:ind w:firstLine="480"/>
        <w:jc w:val="left"/>
      </w:pPr>
      <w:r>
        <w:rPr/>
        <w:t>（2）接受联合体投标且投标人为联合体的，指牵头方的全称并加注（联合体牵头方），即应表述为：“牵头方的全称（联合体牵头方）”。</w:t>
      </w:r>
    </w:p>
    <w:p>
      <w:pPr>
        <w:pStyle w:val="null3"/>
        <w:ind w:firstLine="480"/>
        <w:jc w:val="left"/>
      </w:pPr>
      <w:r>
        <w:rPr/>
        <w:t>1.2涉及投标人“加盖单位公章”：</w:t>
      </w:r>
    </w:p>
    <w:p>
      <w:pPr>
        <w:pStyle w:val="null3"/>
        <w:ind w:firstLine="480"/>
        <w:jc w:val="left"/>
      </w:pPr>
      <w:r>
        <w:rPr/>
        <w:t>（1）不接受联合体投标的，指加盖投标人的单位公章。</w:t>
      </w:r>
    </w:p>
    <w:p>
      <w:pPr>
        <w:pStyle w:val="null3"/>
        <w:ind w:firstLine="480"/>
        <w:jc w:val="left"/>
      </w:pPr>
      <w:r>
        <w:rPr/>
        <w:t>（2）接受联合体投标且投标人为联合体的，指加盖联合体牵头方的单位公章。</w:t>
      </w:r>
    </w:p>
    <w:p>
      <w:pPr>
        <w:pStyle w:val="null3"/>
        <w:ind w:firstLine="480"/>
        <w:jc w:val="left"/>
      </w:pPr>
      <w:r>
        <w:rPr/>
        <w:t>1.3涉及“投标人代表签字”：</w:t>
      </w:r>
    </w:p>
    <w:p>
      <w:pPr>
        <w:pStyle w:val="null3"/>
        <w:ind w:firstLine="480"/>
        <w:jc w:val="left"/>
      </w:pPr>
      <w:r>
        <w:rPr/>
        <w:t>（1）不接受联合体投标的，指由投标人的单位负责人或其授权的委托代理人签字，由委托代理人签字的，应提供“单位授权书”。</w:t>
      </w:r>
    </w:p>
    <w:p>
      <w:pPr>
        <w:pStyle w:val="null3"/>
        <w:ind w:firstLine="480"/>
        <w:jc w:val="left"/>
      </w:pPr>
      <w:r>
        <w:rPr/>
        <w:t>（2）接受联合体投标且投标人为联合体的，指由联合体牵头方的单位负责人或其授权的委托代理人签字，由委托代理人签字的，应提供“单位授权书”。</w:t>
      </w:r>
    </w:p>
    <w:p>
      <w:pPr>
        <w:pStyle w:val="null3"/>
        <w:ind w:firstLine="480"/>
        <w:jc w:val="left"/>
      </w:pPr>
      <w:r>
        <w:rPr/>
        <w:t>1.4“其他组织”指合伙企业、非企业专业服务机构、个体工商户、农村承包经营户等。</w:t>
      </w:r>
    </w:p>
    <w:p>
      <w:pPr>
        <w:pStyle w:val="null3"/>
        <w:ind w:firstLine="480"/>
        <w:jc w:val="left"/>
      </w:pPr>
      <w:r>
        <w:rPr/>
        <w:t>1.5“自然人”指具有完全民事行为能力、能够承担民事责任和义务的中国公民。</w:t>
      </w:r>
    </w:p>
    <w:p>
      <w:pPr>
        <w:pStyle w:val="null3"/>
        <w:ind w:firstLine="480"/>
        <w:jc w:val="left"/>
      </w:pPr>
      <w:r>
        <w:rPr/>
        <w:t>2、除招标文件另有规定外，本章中“投标人的资格及资信证明文件”：</w:t>
      </w:r>
    </w:p>
    <w:p>
      <w:pPr>
        <w:pStyle w:val="null3"/>
        <w:ind w:firstLine="480"/>
        <w:jc w:val="left"/>
      </w:pPr>
      <w:r>
        <w:rPr/>
        <w:t>2.1投标人应按照招标文件第四章第1.3条第（2）款规定及本章规定进行编制，如有必要，可增加附页，附页作为资格及资信文件的组成部分。</w:t>
      </w:r>
    </w:p>
    <w:p>
      <w:pPr>
        <w:pStyle w:val="null3"/>
        <w:ind w:firstLine="480"/>
        <w:jc w:val="left"/>
      </w:pPr>
      <w:r>
        <w:rPr/>
        <w:t>2.2接受联合体投标且投标人为联合体的，联合体中的各方均应按照本章第2.1条规定提交相应的全部资料。</w:t>
      </w:r>
    </w:p>
    <w:p>
      <w:pPr>
        <w:pStyle w:val="null3"/>
        <w:ind w:firstLine="480"/>
        <w:jc w:val="left"/>
      </w:pPr>
      <w:r>
        <w:rPr/>
        <w:t>3、投标人对电子投标文件的索引应编制页码。</w:t>
      </w:r>
    </w:p>
    <w:p>
      <w:pPr>
        <w:pStyle w:val="null3"/>
        <w:ind w:firstLine="480"/>
        <w:jc w:val="left"/>
      </w:pPr>
      <w:r>
        <w:rPr/>
        <w:t>4、本章提供格式仅供参考，投标人应根据自身实际情况制作电子投标文件。</w:t>
      </w:r>
    </w:p>
    <w:p>
      <w:pPr>
        <w:pStyle w:val="null3"/>
      </w:pPr>
      <w:r>
        <w:rPr/>
        <w:t xml:space="preserve"> </w:t>
        <w:br/>
        <w:br w:type="page"/>
      </w:r>
    </w:p>
    <w:p>
      <w:pPr>
        <w:pStyle w:val="null3"/>
        <w:jc w:val="center"/>
        <w:outlineLvl w:val="2"/>
      </w:pPr>
      <w:r>
        <w:rPr>
          <w:sz w:val="28"/>
          <w:b/>
        </w:rPr>
        <w:t>封面格式(资格及资信证明部分)</w:t>
      </w:r>
    </w:p>
    <w:p>
      <w:pPr>
        <w:pStyle w:val="null3"/>
        <w:jc w:val="center"/>
        <w:outlineLvl w:val="0"/>
      </w:pPr>
      <w:r>
        <w:rPr>
          <w:sz w:val="48"/>
          <w:b/>
        </w:rPr>
        <w:t>福建省政府采购投标文件</w:t>
      </w:r>
    </w:p>
    <w:p>
      <w:pPr>
        <w:pStyle w:val="null3"/>
        <w:jc w:val="center"/>
        <w:outlineLvl w:val="0"/>
      </w:pPr>
      <w:r>
        <w:rPr>
          <w:sz w:val="48"/>
          <w:b/>
        </w:rPr>
        <w:t>（资格及资信证明部分）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一、投标函</w:t>
      </w:r>
    </w:p>
    <w:p>
      <w:pPr>
        <w:pStyle w:val="null3"/>
        <w:ind w:firstLine="480"/>
        <w:jc w:val="left"/>
      </w:pPr>
      <w:r>
        <w:rPr/>
        <w:t>二、投标人的资格及资信证明文件</w:t>
      </w:r>
    </w:p>
    <w:p>
      <w:pPr>
        <w:pStyle w:val="null3"/>
        <w:ind w:firstLine="480"/>
        <w:jc w:val="left"/>
      </w:pPr>
      <w:r>
        <w:rPr/>
        <w:t>三、投标保证金</w:t>
      </w:r>
    </w:p>
    <w:p>
      <w:pPr>
        <w:pStyle w:val="null3"/>
        <w:ind w:firstLine="480"/>
        <w:jc w:val="left"/>
      </w:pPr>
      <w:r>
        <w:rPr/>
        <w:t>※注意</w:t>
      </w:r>
    </w:p>
    <w:p>
      <w:pPr>
        <w:pStyle w:val="null3"/>
        <w:ind w:firstLine="480"/>
        <w:jc w:val="left"/>
      </w:pPr>
      <w:r>
        <w:rPr/>
        <w:t>资格及资信证明部分中不得出现报价部分的全部或部分的投标报价信息（或组成资料），否则资格审查不合格。（联合体协议及分包意向协议中的比例规定，不适用本条款）</w:t>
      </w:r>
    </w:p>
    <w:p>
      <w:pPr>
        <w:pStyle w:val="null3"/>
      </w:pPr>
      <w:r>
        <w:rPr/>
        <w:t xml:space="preserve"> </w:t>
        <w:br/>
        <w:br w:type="page"/>
      </w:r>
    </w:p>
    <w:p>
      <w:pPr>
        <w:pStyle w:val="null3"/>
        <w:jc w:val="center"/>
        <w:outlineLvl w:val="2"/>
      </w:pPr>
      <w:r>
        <w:rPr>
          <w:sz w:val="28"/>
          <w:b/>
        </w:rPr>
        <w:t>一、投标函</w:t>
      </w:r>
    </w:p>
    <w:p>
      <w:pPr>
        <w:pStyle w:val="null3"/>
        <w:ind w:firstLine="480"/>
        <w:jc w:val="left"/>
      </w:pPr>
      <w:r>
        <w:rPr/>
        <w:t>致：</w:t>
      </w:r>
      <w:r>
        <w:rPr>
          <w:u w:val="single"/>
        </w:rPr>
        <w:t>（采购人或采购代理机构）</w:t>
      </w:r>
    </w:p>
    <w:p>
      <w:pPr>
        <w:pStyle w:val="null3"/>
        <w:ind w:firstLine="480"/>
        <w:jc w:val="left"/>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jc w:val="left"/>
      </w:pPr>
      <w:r>
        <w:rPr/>
        <w:t>（1）资格及资信证明部分</w:t>
      </w:r>
    </w:p>
    <w:p>
      <w:pPr>
        <w:pStyle w:val="null3"/>
        <w:ind w:firstLine="480"/>
        <w:jc w:val="left"/>
      </w:pPr>
      <w:r>
        <w:rPr/>
        <w:t>①投标函</w:t>
      </w:r>
    </w:p>
    <w:p>
      <w:pPr>
        <w:pStyle w:val="null3"/>
        <w:ind w:firstLine="480"/>
        <w:jc w:val="left"/>
      </w:pPr>
      <w:r>
        <w:rPr/>
        <w:t>②投标人的资格及资信证明文件</w:t>
      </w:r>
    </w:p>
    <w:p>
      <w:pPr>
        <w:pStyle w:val="null3"/>
        <w:ind w:firstLine="480"/>
        <w:jc w:val="left"/>
      </w:pPr>
      <w:r>
        <w:rPr/>
        <w:t>③投标保证金</w:t>
      </w:r>
    </w:p>
    <w:p>
      <w:pPr>
        <w:pStyle w:val="null3"/>
        <w:ind w:firstLine="480"/>
        <w:jc w:val="left"/>
      </w:pPr>
      <w:r>
        <w:rPr/>
        <w:t>（2）报价部分</w:t>
      </w:r>
    </w:p>
    <w:p>
      <w:pPr>
        <w:pStyle w:val="null3"/>
        <w:ind w:firstLine="480"/>
        <w:jc w:val="left"/>
      </w:pPr>
      <w:r>
        <w:rPr/>
        <w:t>①开标一览表</w:t>
      </w:r>
    </w:p>
    <w:p>
      <w:pPr>
        <w:pStyle w:val="null3"/>
        <w:ind w:firstLine="480"/>
        <w:jc w:val="left"/>
      </w:pPr>
      <w:r>
        <w:rPr/>
        <w:t>②投标分项报价表</w:t>
      </w:r>
    </w:p>
    <w:p>
      <w:pPr>
        <w:pStyle w:val="null3"/>
        <w:ind w:firstLine="480"/>
        <w:jc w:val="left"/>
      </w:pPr>
      <w:r>
        <w:rPr/>
        <w:t>③招标文件规定的价格扣除证明材料（若有）</w:t>
      </w:r>
    </w:p>
    <w:p>
      <w:pPr>
        <w:pStyle w:val="null3"/>
        <w:ind w:firstLine="480"/>
        <w:jc w:val="left"/>
      </w:pPr>
      <w:r>
        <w:rPr/>
        <w:t>④招标文件规定的加分证明材料（若有）</w:t>
      </w:r>
    </w:p>
    <w:p>
      <w:pPr>
        <w:pStyle w:val="null3"/>
        <w:ind w:firstLine="480"/>
        <w:jc w:val="left"/>
      </w:pPr>
      <w:r>
        <w:rPr/>
        <w:t>（3）技术商务部分</w:t>
      </w:r>
    </w:p>
    <w:p>
      <w:pPr>
        <w:pStyle w:val="null3"/>
        <w:ind w:firstLine="480"/>
        <w:jc w:val="left"/>
      </w:pPr>
      <w:r>
        <w:rPr/>
        <w:t>①标的说明一览表</w:t>
      </w:r>
    </w:p>
    <w:p>
      <w:pPr>
        <w:pStyle w:val="null3"/>
        <w:ind w:firstLine="480"/>
        <w:jc w:val="left"/>
      </w:pPr>
      <w:r>
        <w:rPr/>
        <w:t>②技术和服务要求响应表</w:t>
      </w:r>
    </w:p>
    <w:p>
      <w:pPr>
        <w:pStyle w:val="null3"/>
        <w:ind w:firstLine="480"/>
        <w:jc w:val="left"/>
      </w:pPr>
      <w:r>
        <w:rPr/>
        <w:t>③商务条件响应表</w:t>
      </w:r>
    </w:p>
    <w:p>
      <w:pPr>
        <w:pStyle w:val="null3"/>
        <w:ind w:firstLine="480"/>
        <w:jc w:val="left"/>
      </w:pPr>
      <w:r>
        <w:rPr/>
        <w:t>④投标人提交的其他资料（若有）</w:t>
      </w:r>
    </w:p>
    <w:p>
      <w:pPr>
        <w:pStyle w:val="null3"/>
        <w:ind w:firstLine="480"/>
        <w:jc w:val="left"/>
      </w:pPr>
      <w:r>
        <w:rPr/>
        <w:t>根据本函，本投标人代表宣布我方保证遵守招标文件的全部规定，同时：</w:t>
      </w:r>
    </w:p>
    <w:p>
      <w:pPr>
        <w:pStyle w:val="null3"/>
        <w:ind w:firstLine="480"/>
        <w:jc w:val="left"/>
      </w:pPr>
      <w:r>
        <w:rPr/>
        <w:t>1、确认：</w:t>
      </w:r>
    </w:p>
    <w:p>
      <w:pPr>
        <w:pStyle w:val="null3"/>
        <w:ind w:firstLine="480"/>
        <w:jc w:val="left"/>
      </w:pPr>
      <w:r>
        <w:rPr/>
        <w:t>1.1所投采购包的投标报价详见“开标一览表”及“投标分项报价表”。</w:t>
      </w:r>
    </w:p>
    <w:p>
      <w:pPr>
        <w:pStyle w:val="null3"/>
        <w:ind w:firstLine="480"/>
        <w:jc w:val="left"/>
      </w:pPr>
      <w:r>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t>2、承诺及声明：</w:t>
      </w:r>
    </w:p>
    <w:p>
      <w:pPr>
        <w:pStyle w:val="null3"/>
        <w:ind w:firstLine="480"/>
        <w:jc w:val="left"/>
      </w:pPr>
      <w:r>
        <w:rPr/>
        <w:t>2.1我方具备招标文件第一章载明的“投标人的资格要求”且符合招标文件第三章载明的“二、投标人”之规定，否则投标无效。</w:t>
      </w:r>
    </w:p>
    <w:p>
      <w:pPr>
        <w:pStyle w:val="null3"/>
        <w:ind w:firstLine="480"/>
        <w:jc w:val="left"/>
      </w:pPr>
      <w:r>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t>2.3我方提供的标的价格不高于同期市场价格，否则产生不利后果由我方承担责任。</w:t>
      </w:r>
    </w:p>
    <w:p>
      <w:pPr>
        <w:pStyle w:val="null3"/>
        <w:ind w:firstLine="480"/>
        <w:jc w:val="left"/>
      </w:pPr>
      <w:r>
        <w:rPr/>
        <w:t>2.4投标保证金：若出现招标文件第三章规定的不予退还情形，同意贵单位不予退还。</w:t>
      </w:r>
    </w:p>
    <w:p>
      <w:pPr>
        <w:pStyle w:val="null3"/>
        <w:ind w:firstLine="480"/>
        <w:jc w:val="left"/>
      </w:pPr>
      <w:r>
        <w:rPr/>
        <w:t>2.5投标有效期：按照招标文件第三章规定执行，并在招标文件第二章载明的期限内保持有效。</w:t>
      </w:r>
    </w:p>
    <w:p>
      <w:pPr>
        <w:pStyle w:val="null3"/>
        <w:ind w:firstLine="480"/>
        <w:jc w:val="left"/>
      </w:pPr>
      <w:r>
        <w:rPr/>
        <w:t>2.6若中标，将按照招标文件、我方电子投标文件及政府采购合同履行责任和义务。</w:t>
      </w:r>
    </w:p>
    <w:p>
      <w:pPr>
        <w:pStyle w:val="null3"/>
        <w:ind w:firstLine="480"/>
        <w:jc w:val="left"/>
      </w:pPr>
      <w:r>
        <w:rPr/>
        <w:t>2.7若贵单位要求，我方同意提供与本项目投标有关的一切资料、数据或文件，并完全理解贵单位不一定要接受最低的投标报价或收到的任何投标。</w:t>
      </w:r>
    </w:p>
    <w:p>
      <w:pPr>
        <w:pStyle w:val="null3"/>
        <w:ind w:firstLine="480"/>
        <w:jc w:val="left"/>
      </w:pPr>
      <w:r>
        <w:rPr/>
        <w:t>2.8 我方承诺遵守《中华人民共和国劳动合同法》有关规定和《中华人民共和国妇女权益保障法 》中关于“劳动和社会保障权益”的有关要求。</w:t>
      </w:r>
    </w:p>
    <w:p>
      <w:pPr>
        <w:pStyle w:val="null3"/>
        <w:ind w:firstLine="480"/>
        <w:jc w:val="left"/>
      </w:pPr>
      <w:r>
        <w:rPr/>
        <w:t>2.9我方承诺电子投标文件所提供的全部资料真实可靠，并接受评标委员会、采购人、采购代理机构、监管部门进一步审查其中任何资料真实性的要求。</w:t>
      </w:r>
    </w:p>
    <w:p>
      <w:pPr>
        <w:pStyle w:val="null3"/>
        <w:ind w:firstLine="480"/>
        <w:jc w:val="left"/>
      </w:pPr>
      <w:r>
        <w:rPr/>
        <w:t>2.10除招标文件另有规定外，对于贵单位按照下述联络方式发出的任何信息或通知，均视为我方已收悉前述信息或通知的全部内容：</w:t>
      </w:r>
    </w:p>
    <w:p>
      <w:pPr>
        <w:pStyle w:val="null3"/>
        <w:ind w:firstLine="480"/>
        <w:jc w:val="left"/>
      </w:pPr>
      <w:r>
        <w:rPr/>
        <w:t xml:space="preserve">通信地址：                                        </w:t>
      </w:r>
    </w:p>
    <w:p>
      <w:pPr>
        <w:pStyle w:val="null3"/>
        <w:ind w:firstLine="480"/>
        <w:jc w:val="left"/>
      </w:pPr>
      <w:r>
        <w:rPr/>
        <w:t xml:space="preserve">邮编：                                           </w:t>
      </w:r>
    </w:p>
    <w:p>
      <w:pPr>
        <w:pStyle w:val="null3"/>
        <w:ind w:firstLine="480"/>
        <w:jc w:val="left"/>
      </w:pPr>
      <w:r>
        <w:rPr/>
        <w:t>联系方法：（包括但不限于：联系人、联系电话、手机、传真、电子邮箱等）</w:t>
      </w:r>
    </w:p>
    <w:p>
      <w:pPr>
        <w:pStyle w:val="null3"/>
        <w:ind w:firstLine="480"/>
        <w:jc w:val="left"/>
      </w:pPr>
      <w:r>
        <w:rPr/>
        <w:t>投标人：（全称并加盖单位公章）</w:t>
      </w:r>
    </w:p>
    <w:p>
      <w:pPr>
        <w:pStyle w:val="null3"/>
        <w:ind w:firstLine="480"/>
        <w:jc w:val="left"/>
      </w:pPr>
      <w:r>
        <w:rPr/>
        <w:t>日期：    年   月   日</w:t>
      </w:r>
    </w:p>
    <w:p>
      <w:pPr>
        <w:pStyle w:val="null3"/>
      </w:pPr>
      <w:r>
        <w:rPr/>
        <w:t xml:space="preserve"> </w:t>
        <w:br/>
        <w:br w:type="page"/>
      </w:r>
    </w:p>
    <w:p>
      <w:pPr>
        <w:pStyle w:val="null3"/>
        <w:jc w:val="center"/>
        <w:outlineLvl w:val="2"/>
      </w:pPr>
      <w:r>
        <w:rPr>
          <w:sz w:val="28"/>
          <w:b/>
        </w:rPr>
        <w:t>二、投标人的资格及资信证明文件</w:t>
      </w:r>
    </w:p>
    <w:p>
      <w:pPr>
        <w:pStyle w:val="null3"/>
        <w:ind w:firstLine="960"/>
        <w:jc w:val="center"/>
        <w:outlineLvl w:val="3"/>
      </w:pPr>
      <w:r>
        <w:rPr>
          <w:sz w:val="24"/>
          <w:b/>
        </w:rPr>
        <w:t>二-1单位授权书（若有）</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t>投标人代表无转委权。特此授权。</w:t>
      </w:r>
    </w:p>
    <w:p>
      <w:pPr>
        <w:pStyle w:val="null3"/>
        <w:ind w:firstLine="480"/>
        <w:jc w:val="left"/>
      </w:pPr>
      <w:r>
        <w:rPr/>
        <w:t>（以下无正文）</w:t>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投标人代表：</w:t>
      </w:r>
      <w:r>
        <w:rPr>
          <w:u w:val="single"/>
        </w:rPr>
        <w:t>　　　　　</w:t>
      </w:r>
      <w:r>
        <w:rPr/>
        <w:t>身份证号：</w:t>
      </w:r>
      <w:r>
        <w:rPr>
          <w:u w:val="single"/>
        </w:rPr>
        <w:t>　　　　　</w:t>
      </w:r>
      <w:r>
        <w:rPr/>
        <w:t>手机：</w:t>
      </w:r>
      <w:r>
        <w:rPr>
          <w:u w:val="single"/>
        </w:rPr>
        <w:t>　　　　　</w:t>
      </w:r>
    </w:p>
    <w:p>
      <w:pPr>
        <w:pStyle w:val="null3"/>
        <w:ind w:firstLine="480"/>
        <w:jc w:val="left"/>
      </w:pPr>
      <w:r>
        <w:rPr/>
        <w:t>授权方</w:t>
      </w:r>
    </w:p>
    <w:p>
      <w:pPr>
        <w:pStyle w:val="null3"/>
        <w:ind w:firstLine="480"/>
        <w:jc w:val="left"/>
      </w:pPr>
      <w:r>
        <w:rPr/>
        <w:t>投标人：</w:t>
      </w:r>
      <w:r>
        <w:rPr>
          <w:u w:val="single"/>
        </w:rPr>
        <w:t>（全称并加盖单位公章）</w:t>
      </w:r>
    </w:p>
    <w:p>
      <w:pPr>
        <w:pStyle w:val="null3"/>
        <w:ind w:firstLine="480"/>
        <w:jc w:val="right"/>
      </w:pPr>
      <w:r>
        <w:rPr/>
        <w:t>签署日期： 年 月 日</w:t>
      </w:r>
    </w:p>
    <w:p>
      <w:pPr>
        <w:pStyle w:val="null3"/>
        <w:ind w:firstLine="480"/>
        <w:jc w:val="left"/>
      </w:pPr>
      <w:r>
        <w:rPr/>
        <w:t>附：单位负责人、投标人代表的身份证正反面复印件</w:t>
      </w:r>
    </w:p>
    <w:p>
      <w:pPr>
        <w:pStyle w:val="null3"/>
        <w:ind w:firstLine="960"/>
        <w:jc w:val="left"/>
      </w:pPr>
      <w:r>
        <w:rPr/>
        <w:t>要求：真实有效且内容完整、清晰、整洁。</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t>4、投标人为自然人的，可不填写本授权书。</w:t>
      </w:r>
    </w:p>
    <w:p>
      <w:pPr>
        <w:pStyle w:val="null3"/>
        <w:ind w:firstLine="960"/>
        <w:jc w:val="left"/>
      </w:pPr>
      <w:r>
        <w:rPr/>
        <w:t xml:space="preserve"> </w:t>
        <w:br/>
        <w:br w:type="page"/>
      </w:r>
    </w:p>
    <w:p>
      <w:pPr>
        <w:pStyle w:val="null3"/>
        <w:ind w:firstLine="960"/>
        <w:jc w:val="center"/>
        <w:outlineLvl w:val="3"/>
      </w:pPr>
      <w:r>
        <w:rPr>
          <w:sz w:val="24"/>
          <w:b/>
        </w:rPr>
        <w:t>二-2 证明材料</w:t>
      </w:r>
    </w:p>
    <w:p>
      <w:pPr>
        <w:pStyle w:val="null3"/>
        <w:ind w:firstLine="480"/>
        <w:jc w:val="left"/>
      </w:pPr>
      <w:r>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sz w:val="24"/>
          <w:b/>
        </w:rPr>
        <w:t>二-2-1 福建省政府采购供应商资格承诺函</w:t>
      </w:r>
    </w:p>
    <w:p>
      <w:pPr>
        <w:pStyle w:val="null3"/>
        <w:ind w:firstLine="480"/>
        <w:jc w:val="left"/>
      </w:pPr>
      <w:r>
        <w:rPr/>
        <w:t>致：</w:t>
      </w:r>
      <w:r>
        <w:rPr>
          <w:u w:val="single"/>
        </w:rPr>
        <w:t>（采购人或采购代理机构）</w:t>
      </w:r>
    </w:p>
    <w:p>
      <w:pPr>
        <w:pStyle w:val="null3"/>
        <w:ind w:firstLine="960"/>
        <w:jc w:val="left"/>
      </w:pPr>
      <w:r>
        <w:rPr/>
        <w:t>单位名称(自然人姓名):</w:t>
      </w:r>
    </w:p>
    <w:p>
      <w:pPr>
        <w:pStyle w:val="null3"/>
        <w:ind w:firstLine="960"/>
        <w:jc w:val="left"/>
      </w:pPr>
      <w:r>
        <w:rPr/>
        <w:t>统一社会信用代码(自然人身份证号码):</w:t>
      </w:r>
    </w:p>
    <w:p>
      <w:pPr>
        <w:pStyle w:val="null3"/>
        <w:ind w:firstLine="960"/>
        <w:jc w:val="left"/>
      </w:pPr>
      <w:r>
        <w:rPr/>
        <w:t>法定代表人(负责人):</w:t>
      </w:r>
    </w:p>
    <w:p>
      <w:pPr>
        <w:pStyle w:val="null3"/>
        <w:ind w:firstLine="960"/>
        <w:jc w:val="left"/>
      </w:pPr>
      <w:r>
        <w:rPr/>
        <w:t>联系地址和电话:</w:t>
      </w:r>
    </w:p>
    <w:p>
      <w:pPr>
        <w:pStyle w:val="null3"/>
        <w:ind w:firstLine="480"/>
        <w:jc w:val="left"/>
      </w:pPr>
      <w:r>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t>一、我单位(本人)具备采购文件要求以及《中华人民共和国政府采购法》第二十二条规定的条件:</w:t>
      </w:r>
    </w:p>
    <w:p>
      <w:pPr>
        <w:pStyle w:val="null3"/>
        <w:ind w:firstLine="960"/>
        <w:jc w:val="left"/>
      </w:pPr>
      <w:r>
        <w:rPr/>
        <w:t>1.具有独立承担民事责任的能力;</w:t>
      </w:r>
    </w:p>
    <w:p>
      <w:pPr>
        <w:pStyle w:val="null3"/>
        <w:ind w:firstLine="960"/>
        <w:jc w:val="left"/>
      </w:pPr>
      <w:r>
        <w:rPr/>
        <w:t>2.具有良好的商业信誉和健全的财务会计制度;</w:t>
      </w:r>
    </w:p>
    <w:p>
      <w:pPr>
        <w:pStyle w:val="null3"/>
        <w:ind w:firstLine="960"/>
        <w:jc w:val="left"/>
      </w:pPr>
      <w:r>
        <w:rPr/>
        <w:t>3.具有履行合同所必需的设备和专业技术能力;</w:t>
      </w:r>
    </w:p>
    <w:p>
      <w:pPr>
        <w:pStyle w:val="null3"/>
        <w:ind w:firstLine="960"/>
        <w:jc w:val="left"/>
      </w:pPr>
      <w:r>
        <w:rPr/>
        <w:t>4.有依法缴纳税收和社会保障资金的良好记录;</w:t>
      </w:r>
    </w:p>
    <w:p>
      <w:pPr>
        <w:pStyle w:val="null3"/>
        <w:ind w:firstLine="960"/>
        <w:jc w:val="left"/>
      </w:pPr>
      <w:r>
        <w:rPr/>
        <w:t>5.参加政府采购活动前三年内，在经营活动中没有重大违法记录；</w:t>
      </w:r>
    </w:p>
    <w:p>
      <w:pPr>
        <w:pStyle w:val="null3"/>
        <w:ind w:firstLine="960"/>
        <w:jc w:val="left"/>
      </w:pPr>
      <w:r>
        <w:rPr/>
        <w:t>6.法律、行政法规规定的其他条件。</w:t>
      </w:r>
    </w:p>
    <w:p>
      <w:pPr>
        <w:pStyle w:val="null3"/>
        <w:ind w:firstLine="480"/>
        <w:jc w:val="left"/>
      </w:pPr>
      <w:r>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t>供应商：</w:t>
      </w:r>
      <w:r>
        <w:rPr>
          <w:u w:val="single"/>
        </w:rPr>
        <w:t>名称(单位公章):</w:t>
      </w:r>
    </w:p>
    <w:p>
      <w:pPr>
        <w:pStyle w:val="null3"/>
        <w:ind w:firstLine="480"/>
        <w:jc w:val="right"/>
      </w:pPr>
      <w:r>
        <w:rPr/>
        <w:t>日期：</w:t>
      </w:r>
      <w:r>
        <w:rPr>
          <w:u w:val="single"/>
        </w:rPr>
        <w:t>　　年　　月　　日</w:t>
      </w:r>
    </w:p>
    <w:p>
      <w:pPr>
        <w:pStyle w:val="null3"/>
        <w:ind w:firstLine="480"/>
        <w:jc w:val="left"/>
      </w:pPr>
      <w:r>
        <w:rPr/>
        <w:t>注：</w:t>
      </w:r>
    </w:p>
    <w:p>
      <w:pPr>
        <w:pStyle w:val="null3"/>
        <w:ind w:firstLine="960"/>
        <w:jc w:val="left"/>
      </w:pPr>
      <w:r>
        <w:rPr/>
        <w:t>1.我单位(本人)专指参加政府采购活动的供应商(含自然人)；</w:t>
      </w:r>
    </w:p>
    <w:p>
      <w:pPr>
        <w:pStyle w:val="null3"/>
        <w:ind w:firstLine="960"/>
        <w:jc w:val="left"/>
      </w:pPr>
      <w:r>
        <w:rPr/>
        <w:t>2.资格承诺的供应商应在投标(响应)文件中按此模板提供承诺函，否则，视为未按照招标文件规定提交投标人的资格及资信文件，按资格审查不通过处理。</w:t>
      </w:r>
    </w:p>
    <w:p>
      <w:pPr>
        <w:pStyle w:val="null3"/>
        <w:ind w:firstLine="960"/>
        <w:jc w:val="left"/>
      </w:pPr>
      <w:r>
        <w:rPr/>
        <w:t xml:space="preserve"> </w:t>
        <w:br/>
        <w:br w:type="page"/>
      </w:r>
    </w:p>
    <w:p>
      <w:pPr>
        <w:pStyle w:val="null3"/>
        <w:ind w:firstLine="960"/>
        <w:jc w:val="center"/>
        <w:outlineLvl w:val="3"/>
      </w:pPr>
      <w:r>
        <w:rPr>
          <w:sz w:val="24"/>
          <w:b/>
        </w:rPr>
        <w:t>二-2-2 资格证明材料</w:t>
      </w:r>
    </w:p>
    <w:p>
      <w:pPr>
        <w:pStyle w:val="null3"/>
        <w:ind w:firstLine="960"/>
        <w:jc w:val="center"/>
        <w:outlineLvl w:val="3"/>
      </w:pPr>
      <w:r>
        <w:rPr>
          <w:sz w:val="24"/>
          <w:b/>
        </w:rPr>
        <w:t>营业执照等证明文件</w:t>
      </w:r>
    </w:p>
    <w:p>
      <w:pPr>
        <w:pStyle w:val="null3"/>
        <w:ind w:firstLine="480"/>
        <w:jc w:val="left"/>
      </w:pPr>
      <w:r>
        <w:rPr/>
        <w:t>致：</w:t>
      </w:r>
      <w:r>
        <w:rPr>
          <w:u w:val="single"/>
        </w:rPr>
        <w:t>（采购人或采购代理机构）</w:t>
      </w:r>
    </w:p>
    <w:p>
      <w:pPr>
        <w:pStyle w:val="null3"/>
        <w:ind w:firstLine="480"/>
        <w:jc w:val="left"/>
      </w:pPr>
      <w:r>
        <w:rPr/>
        <w:t>（ ）投标人为法人（包括企业、事业单位和社会团体）的</w:t>
      </w:r>
    </w:p>
    <w:p>
      <w:pPr>
        <w:pStyle w:val="null3"/>
        <w:ind w:firstLine="480"/>
        <w:jc w:val="left"/>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left"/>
      </w:pPr>
      <w:r>
        <w:rPr/>
        <w:t>（ ）投标人为非法人（包括其他组织、自然人）的</w:t>
      </w:r>
    </w:p>
    <w:p>
      <w:pPr>
        <w:pStyle w:val="null3"/>
        <w:ind w:firstLine="480"/>
        <w:jc w:val="left"/>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left"/>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财务状况报告（财务报告、或资信证明）</w:t>
      </w:r>
    </w:p>
    <w:p>
      <w:pPr>
        <w:pStyle w:val="null3"/>
        <w:ind w:firstLine="480"/>
        <w:jc w:val="left"/>
      </w:pPr>
      <w:r>
        <w:rPr/>
        <w:t>致：</w:t>
      </w:r>
      <w:r>
        <w:rPr>
          <w:u w:val="single"/>
        </w:rPr>
        <w:t>（采购人或采购代理机构）</w:t>
      </w:r>
    </w:p>
    <w:p>
      <w:pPr>
        <w:pStyle w:val="null3"/>
        <w:ind w:firstLine="480"/>
        <w:jc w:val="left"/>
      </w:pPr>
      <w:r>
        <w:rPr/>
        <w:t>（ ）投标人提供财务报告的</w:t>
      </w:r>
    </w:p>
    <w:p>
      <w:pPr>
        <w:pStyle w:val="null3"/>
        <w:ind w:firstLine="480"/>
        <w:jc w:val="left"/>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）投标人提供资信证明的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2、投标人提供的财务报告复印件（成立年限按照投标截止时间推算）应符合下列规定：</w:t>
      </w:r>
    </w:p>
    <w:p>
      <w:pPr>
        <w:pStyle w:val="null3"/>
        <w:ind w:firstLine="480"/>
        <w:jc w:val="left"/>
      </w:pPr>
      <w:r>
        <w:rPr/>
        <w:t>2.1成立年限满1年及以上的投标人，提供经审计的招标文件规定的年度财务报告。</w:t>
      </w:r>
    </w:p>
    <w:p>
      <w:pPr>
        <w:pStyle w:val="null3"/>
        <w:ind w:firstLine="480"/>
        <w:jc w:val="left"/>
      </w:pPr>
      <w:r>
        <w:rPr/>
        <w:t>2.2成立年限满半年但不足1年的投标人，提供该半年度中任一季度的季度财务报告或该半年度的半年度财务报告。</w:t>
      </w:r>
    </w:p>
    <w:p>
      <w:pPr>
        <w:pStyle w:val="null3"/>
        <w:ind w:firstLine="480"/>
        <w:jc w:val="left"/>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2、依法免税的投标人</w:t>
      </w:r>
    </w:p>
    <w:p>
      <w:pPr>
        <w:pStyle w:val="null3"/>
        <w:ind w:firstLine="480"/>
        <w:jc w:val="left"/>
      </w:pPr>
      <w:r>
        <w:rPr/>
        <w:t>（ ）现附上我方依法免税的证明材料复印件，上述证明材料真实有效，否则我方负全部责任。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2、投标人提供的税收缴纳凭据复印件应符合下列规定：</w:t>
      </w:r>
    </w:p>
    <w:p>
      <w:pPr>
        <w:pStyle w:val="null3"/>
        <w:ind w:firstLine="480"/>
        <w:jc w:val="left"/>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2、依法不需要缴纳或暂缓缴纳社会保障资金的投标人</w:t>
      </w:r>
    </w:p>
    <w:p>
      <w:pPr>
        <w:pStyle w:val="null3"/>
        <w:ind w:firstLine="480"/>
        <w:jc w:val="left"/>
      </w:pPr>
      <w:r>
        <w:rPr/>
        <w:t>（ ）现附上我方依法不需要缴纳或暂缓缴纳社会保障资金证明材料复印件，上述证明材料真实有效，否则我方负全部责任。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2、投标人提供的社会保障资金缴纳凭据复印件应符合下列规定：</w:t>
      </w:r>
    </w:p>
    <w:p>
      <w:pPr>
        <w:pStyle w:val="null3"/>
        <w:ind w:firstLine="480"/>
        <w:jc w:val="left"/>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具备履行合同所必需设备和专业技术能力的声明函（若有）</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1、招标文件未要求投标人提供“具备履行合同所必需的设备和专业技术能力专项证明材料”的，投标人应提供本声明函。</w:t>
      </w:r>
    </w:p>
    <w:p>
      <w:pPr>
        <w:pStyle w:val="null3"/>
        <w:ind w:firstLine="480"/>
        <w:jc w:val="left"/>
      </w:pPr>
      <w:r>
        <w:rPr/>
        <w:t>2、招标文件要求投标人提供“具备履行合同所必需的设备和专业技术能力专项证明材料”的，投标人可不提供本声明函。</w:t>
      </w:r>
    </w:p>
    <w:p>
      <w:pPr>
        <w:pStyle w:val="null3"/>
        <w:ind w:firstLine="480"/>
        <w:jc w:val="left"/>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二-3信用记录查询提示</w:t>
      </w:r>
    </w:p>
    <w:p>
      <w:pPr>
        <w:pStyle w:val="null3"/>
        <w:ind w:firstLine="480"/>
        <w:jc w:val="left"/>
      </w:pPr>
      <w:r>
        <w:rPr/>
        <w:t>1、由资格审查小组通过网站查询并打印投标人的信用记录。</w:t>
      </w:r>
    </w:p>
    <w:p>
      <w:pPr>
        <w:pStyle w:val="null3"/>
        <w:ind w:firstLine="480"/>
        <w:jc w:val="left"/>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t xml:space="preserve"> </w:t>
        <w:br/>
        <w:br w:type="page"/>
      </w:r>
    </w:p>
    <w:p>
      <w:pPr>
        <w:pStyle w:val="null3"/>
        <w:ind w:firstLine="960"/>
        <w:jc w:val="center"/>
        <w:outlineLvl w:val="3"/>
      </w:pPr>
      <w:r>
        <w:rPr>
          <w:sz w:val="24"/>
          <w:b/>
        </w:rPr>
        <w:t>二-4中小企业声明函</w:t>
      </w:r>
    </w:p>
    <w:p>
      <w:pPr>
        <w:pStyle w:val="null3"/>
        <w:ind w:firstLine="960"/>
        <w:jc w:val="center"/>
        <w:outlineLvl w:val="3"/>
      </w:pPr>
      <w:r>
        <w:rPr>
          <w:sz w:val="24"/>
          <w:b/>
        </w:rPr>
        <w:t>（以资格条件落实中小企业扶持政策时适用，若有）</w:t>
      </w:r>
    </w:p>
    <w:p>
      <w:pPr>
        <w:pStyle w:val="null3"/>
        <w:ind w:firstLine="960"/>
        <w:jc w:val="center"/>
        <w:outlineLvl w:val="3"/>
      </w:pPr>
      <w:r>
        <w:rPr>
          <w:sz w:val="24"/>
          <w:b/>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万元¹</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sz w:val="24"/>
          <w:b/>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万元¹</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sz w:val="24"/>
          <w:b/>
        </w:rPr>
        <w:t>残疾人福利性单位声明函</w:t>
      </w:r>
    </w:p>
    <w:p>
      <w:pPr>
        <w:pStyle w:val="null3"/>
        <w:ind w:firstLine="960"/>
        <w:jc w:val="center"/>
        <w:outlineLvl w:val="3"/>
      </w:pPr>
      <w:r>
        <w:rPr>
          <w:sz w:val="24"/>
          <w:b/>
        </w:rPr>
        <w:t>（以资格条件落实中小企业扶持政策时适用，若有）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附：</w:t>
      </w:r>
    </w:p>
    <w:p>
      <w:pPr>
        <w:pStyle w:val="null3"/>
        <w:ind w:firstLine="960"/>
        <w:jc w:val="center"/>
        <w:outlineLvl w:val="3"/>
      </w:pPr>
      <w:r>
        <w:rPr>
          <w:sz w:val="24"/>
          <w:b/>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t xml:space="preserve"> </w:t>
        <w:br/>
        <w:br w:type="page"/>
      </w:r>
    </w:p>
    <w:p>
      <w:pPr>
        <w:pStyle w:val="null3"/>
        <w:ind w:firstLine="960"/>
        <w:jc w:val="center"/>
        <w:outlineLvl w:val="3"/>
      </w:pPr>
      <w:r>
        <w:rPr>
          <w:sz w:val="24"/>
          <w:b/>
        </w:rPr>
        <w:t>二-5联合体协议（若有）</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t>2、联合体各方约定由</w:t>
      </w:r>
      <w:r>
        <w:rPr>
          <w:u w:val="single"/>
        </w:rPr>
        <w:t>（填写“牵头方的全称”）代表联合体办理投标保证金事宜。</w:t>
      </w:r>
    </w:p>
    <w:p>
      <w:pPr>
        <w:pStyle w:val="null3"/>
        <w:ind w:firstLine="480"/>
        <w:jc w:val="left"/>
      </w:pPr>
      <w:r>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份，联合体各方各执一份，电子投标文件中提交一份。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1、招标文件接受联合体投标且投标人为联合体的，投标人应提供本协议；否则无须提供。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sz w:val="24"/>
          <w:b/>
        </w:rPr>
        <w:t>二-6分包意向协议（若有）</w:t>
      </w:r>
    </w:p>
    <w:p>
      <w:pPr>
        <w:pStyle w:val="null3"/>
        <w:ind w:firstLine="480"/>
        <w:jc w:val="left"/>
      </w:pPr>
      <w:r>
        <w:rPr/>
        <w:t>甲方（总包方）：</w:t>
      </w:r>
      <w:r>
        <w:rPr>
          <w:u w:val="single"/>
        </w:rPr>
        <w:t>　　　　　　　</w:t>
      </w:r>
      <w:r>
        <w:rPr/>
        <w:t>（即本项目的投标人）</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分包合同价占投标总价的比例：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ind w:firstLine="960"/>
              <w:jc w:val="right"/>
            </w:pPr>
            <w:r>
              <w:rPr/>
              <w:t>签订地点：</w:t>
            </w:r>
            <w:r>
              <w:rPr>
                <w:u w:val="single"/>
              </w:rPr>
              <w:t>　　　　　　　　　　</w:t>
            </w:r>
          </w:p>
          <w:p>
            <w:pPr>
              <w:pStyle w:val="null3"/>
              <w:ind w:firstLine="960"/>
              <w:jc w:val="right"/>
            </w:pPr>
            <w:r>
              <w:rPr/>
              <w:t>签约日期：</w:t>
            </w:r>
            <w:r>
              <w:rPr>
                <w:u w:val="single"/>
              </w:rPr>
              <w:t>　　年　　月　　日</w:t>
            </w:r>
          </w:p>
        </w:tc>
      </w:tr>
    </w:tbl>
    <w:p>
      <w:pPr>
        <w:pStyle w:val="null3"/>
        <w:ind w:firstLine="480"/>
        <w:jc w:val="left"/>
      </w:pPr>
      <w:r>
        <w:rPr/>
        <w:t>※注意：</w:t>
      </w:r>
    </w:p>
    <w:p>
      <w:pPr>
        <w:pStyle w:val="null3"/>
        <w:ind w:firstLine="480"/>
        <w:jc w:val="left"/>
      </w:pPr>
      <w:r>
        <w:rPr/>
        <w:t>1.招标文件接受合同分包且投标人拟将合同分包的，应提供本协议；否则无须提供。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sz w:val="24"/>
          <w:b/>
        </w:rPr>
        <w:t>二-7其他资格证明文件（若有）</w:t>
      </w:r>
    </w:p>
    <w:p>
      <w:pPr>
        <w:pStyle w:val="null3"/>
        <w:ind w:firstLine="960"/>
        <w:jc w:val="center"/>
        <w:outlineLvl w:val="3"/>
      </w:pPr>
      <w:r>
        <w:rPr>
          <w:sz w:val="24"/>
          <w:b/>
        </w:rPr>
        <w:t>二-7-①招标文件规定的其他资格证明文件（若有）</w:t>
      </w:r>
    </w:p>
    <w:p>
      <w:pPr>
        <w:pStyle w:val="null3"/>
        <w:ind w:firstLine="480"/>
        <w:jc w:val="center"/>
      </w:pPr>
      <w:r>
        <w:rPr/>
        <w:t>编制说明</w:t>
      </w:r>
    </w:p>
    <w:p>
      <w:pPr>
        <w:pStyle w:val="null3"/>
        <w:ind w:firstLine="480"/>
        <w:jc w:val="left"/>
      </w:pPr>
      <w:r>
        <w:rPr/>
        <w:t>除招标文件另有规定外，招标文件要求提交的除前述资格证明文件外的其他资格证明文件（若有）加盖投标人的单位公章后应在此项下提交。</w:t>
      </w:r>
    </w:p>
    <w:p>
      <w:pPr>
        <w:pStyle w:val="null3"/>
      </w:pPr>
      <w:r>
        <w:rPr/>
        <w:t xml:space="preserve"> </w:t>
        <w:br/>
        <w:br w:type="page"/>
      </w:r>
    </w:p>
    <w:p>
      <w:pPr>
        <w:pStyle w:val="null3"/>
        <w:jc w:val="center"/>
        <w:outlineLvl w:val="2"/>
      </w:pPr>
      <w:r>
        <w:rPr>
          <w:sz w:val="28"/>
          <w:b/>
        </w:rPr>
        <w:t>三、投标保证金</w:t>
      </w:r>
    </w:p>
    <w:p>
      <w:pPr>
        <w:pStyle w:val="null3"/>
        <w:ind w:firstLine="480"/>
        <w:jc w:val="center"/>
      </w:pPr>
      <w:r>
        <w:rPr/>
        <w:t>编制说明</w:t>
      </w:r>
    </w:p>
    <w:p>
      <w:pPr>
        <w:pStyle w:val="null3"/>
        <w:ind w:firstLine="480"/>
        <w:jc w:val="left"/>
      </w:pPr>
      <w:r>
        <w:rPr/>
        <w:t>1、在此项下提交的“投标保证金”材料可使用转账凭证复印件或从福建省政府采购网上公开信息系统中下载的有关原始页面的打印件。</w:t>
      </w:r>
    </w:p>
    <w:p>
      <w:pPr>
        <w:pStyle w:val="null3"/>
        <w:ind w:firstLine="480"/>
        <w:jc w:val="left"/>
      </w:pPr>
      <w:r>
        <w:rPr/>
        <w:t>2、投标保证金是否已提交的认定按照招标文件第三章规定执行。</w:t>
      </w:r>
    </w:p>
    <w:p>
      <w:pPr>
        <w:pStyle w:val="null3"/>
      </w:pPr>
      <w:r>
        <w:rPr/>
        <w:t xml:space="preserve"> </w:t>
        <w:br/>
        <w:br w:type="page"/>
      </w:r>
    </w:p>
    <w:p>
      <w:pPr>
        <w:pStyle w:val="null3"/>
        <w:jc w:val="center"/>
        <w:outlineLvl w:val="2"/>
      </w:pPr>
      <w:r>
        <w:rPr>
          <w:sz w:val="28"/>
          <w:b/>
        </w:rPr>
        <w:t>封面格式(报价部分)</w:t>
      </w:r>
    </w:p>
    <w:p>
      <w:pPr>
        <w:pStyle w:val="null3"/>
        <w:jc w:val="center"/>
        <w:outlineLvl w:val="0"/>
      </w:pPr>
      <w:r>
        <w:rPr>
          <w:sz w:val="48"/>
          <w:b/>
        </w:rPr>
        <w:t>福建省政府采购投标文件</w:t>
      </w:r>
    </w:p>
    <w:p>
      <w:pPr>
        <w:pStyle w:val="null3"/>
        <w:jc w:val="center"/>
        <w:outlineLvl w:val="0"/>
      </w:pPr>
      <w:r>
        <w:rPr>
          <w:sz w:val="48"/>
          <w:b/>
        </w:rPr>
        <w:t>（报价部分）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一、开标（报价）一览表</w:t>
      </w:r>
    </w:p>
    <w:p>
      <w:pPr>
        <w:pStyle w:val="null3"/>
        <w:ind w:firstLine="480"/>
        <w:jc w:val="left"/>
      </w:pPr>
      <w:r>
        <w:rPr/>
        <w:t>二、投标（响应）报价明细表</w:t>
      </w:r>
    </w:p>
    <w:p>
      <w:pPr>
        <w:pStyle w:val="null3"/>
        <w:ind w:firstLine="480"/>
        <w:jc w:val="left"/>
      </w:pPr>
      <w:r>
        <w:rPr/>
        <w:t>三、招标文件规定的价格扣除证明材料（若有）</w:t>
      </w:r>
    </w:p>
    <w:p>
      <w:pPr>
        <w:pStyle w:val="null3"/>
        <w:ind w:firstLine="480"/>
        <w:jc w:val="left"/>
      </w:pPr>
      <w:r>
        <w:rPr/>
        <w:t xml:space="preserve"> </w:t>
        <w:br/>
        <w:br w:type="page"/>
      </w:r>
    </w:p>
    <w:p>
      <w:pPr>
        <w:pStyle w:val="null3"/>
        <w:jc w:val="left"/>
        <w:outlineLvl w:val="0"/>
      </w:pPr>
      <w:r>
        <w:rPr>
          <w:sz w:val="48"/>
          <w:b/>
        </w:rPr>
        <w:t>开标（报价）一览表</w:t>
      </w:r>
    </w:p>
    <w:p>
      <w:pPr>
        <w:pStyle w:val="null3"/>
        <w:jc w:val="left"/>
      </w:pPr>
      <w:r>
        <w:rPr/>
        <w:t>公司名称：</w:t>
      </w:r>
    </w:p>
    <w:p>
      <w:pPr>
        <w:pStyle w:val="null3"/>
        <w:jc w:val="left"/>
      </w:pPr>
      <w:r>
        <w:rPr/>
        <w:t>包号：</w:t>
      </w:r>
      <w:r>
        <w:rPr/>
        <w:t>1</w:t>
      </w:r>
    </w:p>
    <w:p>
      <w:pPr>
        <w:pStyle w:val="null3"/>
        <w:jc w:val="left"/>
      </w:pPr>
      <w:r>
        <w:rPr/>
        <w:t>项目编号：</w:t>
      </w:r>
      <w:r>
        <w:rPr/>
        <w:t>[350001]HYG[GK]2024013</w:t>
      </w:r>
    </w:p>
    <w:p>
      <w:pPr>
        <w:pStyle w:val="null3"/>
        <w:jc w:val="left"/>
      </w:pPr>
      <w:r>
        <w:rPr/>
        <w:t>项目名称：</w:t>
      </w:r>
      <w:r>
        <w:rPr/>
        <w:t>2025年信息化运维服务项目</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 xml:space="preserve"> 序号</w:t>
            </w:r>
          </w:p>
        </w:tc>
        <w:tc>
          <w:tcPr>
            <w:tcW w:type="dxa" w:w="1661"/>
          </w:tcPr>
          <w:p>
            <w:pPr>
              <w:pStyle w:val="null3"/>
              <w:jc w:val="left"/>
            </w:pPr>
            <w:r>
              <w:rPr/>
              <w:t xml:space="preserve"> 报价内容</w:t>
            </w:r>
          </w:p>
        </w:tc>
        <w:tc>
          <w:tcPr>
            <w:tcW w:type="dxa" w:w="1661"/>
          </w:tcPr>
          <w:p>
            <w:pPr>
              <w:pStyle w:val="null3"/>
              <w:jc w:val="left"/>
            </w:pPr>
            <w:r>
              <w:rPr/>
              <w:t xml:space="preserve"> 最高限价</w:t>
            </w:r>
          </w:p>
        </w:tc>
        <w:tc>
          <w:tcPr>
            <w:tcW w:type="dxa" w:w="1661"/>
          </w:tcPr>
          <w:p>
            <w:pPr>
              <w:pStyle w:val="null3"/>
              <w:jc w:val="left"/>
            </w:pPr>
            <w:r>
              <w:rPr/>
              <w:t xml:space="preserve"> 响应报价</w:t>
            </w:r>
          </w:p>
        </w:tc>
        <w:tc>
          <w:tcPr>
            <w:tcW w:type="dxa" w:w="1661"/>
          </w:tcPr>
          <w:p>
            <w:pPr>
              <w:pStyle w:val="null3"/>
              <w:jc w:val="left"/>
            </w:pPr>
            <w:r>
              <w:rPr/>
              <w:t xml:space="preserve"> 价款形式</w:t>
            </w:r>
          </w:p>
        </w:tc>
      </w:tr>
      <w:tr>
        <w:tc>
          <w:tcPr>
            <w:tcW w:type="dxa" w:w="1661"/>
          </w:tcPr>
          <w:p>
            <w:pPr>
              <w:pStyle w:val="null3"/>
              <w:jc w:val="left"/>
            </w:pPr>
            <w:r>
              <w:rPr/>
              <w:t xml:space="preserve"> 1</w:t>
            </w:r>
          </w:p>
        </w:tc>
        <w:tc>
          <w:tcPr>
            <w:tcW w:type="dxa" w:w="1661"/>
          </w:tcPr>
          <w:p>
            <w:pPr>
              <w:pStyle w:val="null3"/>
              <w:jc w:val="left"/>
            </w:pPr>
            <w:r>
              <w:rPr/>
              <w:t xml:space="preserve"> 2025年执法系统运维服务</w:t>
            </w:r>
          </w:p>
        </w:tc>
        <w:tc>
          <w:tcPr>
            <w:tcW w:type="dxa" w:w="1661"/>
          </w:tcPr>
          <w:p>
            <w:pPr>
              <w:pStyle w:val="null3"/>
              <w:jc w:val="left"/>
            </w:pPr>
            <w:r>
              <w:rPr/>
              <w:t xml:space="preserve"> 450000.0000 </w:t>
            </w:r>
            <w:r>
              <w:rPr/>
              <w:t xml:space="preserve"> 元</w:t>
            </w:r>
          </w:p>
        </w:tc>
        <w:tc>
          <w:tcPr>
            <w:tcW w:type="dxa" w:w="1661"/>
          </w:tcPr>
          <w:p>
            <w:pPr>
              <w:pStyle w:val="null3"/>
              <w:jc w:val="left"/>
            </w:pPr>
            <w:r>
              <w:rPr/>
              <w:t xml:space="preserve"> 「汇总引用」 </w:t>
            </w:r>
            <w:r>
              <w:rPr/>
              <w:t xml:space="preserve"> 元</w:t>
            </w:r>
          </w:p>
        </w:tc>
        <w:tc>
          <w:tcPr>
            <w:tcW w:type="dxa" w:w="1661"/>
          </w:tcPr>
          <w:p>
            <w:pPr>
              <w:pStyle w:val="null3"/>
              <w:jc w:val="left"/>
            </w:pPr>
            <w:r>
              <w:rPr/>
              <w:t xml:space="preserve"> 总价</w:t>
            </w:r>
          </w:p>
        </w:tc>
      </w:tr>
    </w:tbl>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jc w:val="left"/>
        <w:outlineLvl w:val="0"/>
      </w:pPr>
      <w:r>
        <w:rPr>
          <w:sz w:val="48"/>
          <w:b/>
        </w:rPr>
        <w:t>投标（响应）报价明细表</w:t>
      </w:r>
    </w:p>
    <w:p>
      <w:pPr>
        <w:pStyle w:val="null3"/>
        <w:jc w:val="left"/>
      </w:pPr>
      <w:r>
        <w:rPr/>
        <w:t>公司名称：</w:t>
      </w:r>
    </w:p>
    <w:p>
      <w:pPr>
        <w:pStyle w:val="null3"/>
        <w:jc w:val="left"/>
      </w:pPr>
      <w:r>
        <w:rPr/>
        <w:t>包号：</w:t>
      </w:r>
      <w:r>
        <w:rPr/>
        <w:t>1</w:t>
      </w:r>
    </w:p>
    <w:p>
      <w:pPr>
        <w:pStyle w:val="null3"/>
        <w:jc w:val="left"/>
      </w:pPr>
      <w:r>
        <w:rPr/>
        <w:t>项目编号：</w:t>
      </w:r>
      <w:r>
        <w:rPr/>
        <w:t>[350001]HYG[GK]2024013</w:t>
      </w:r>
    </w:p>
    <w:p>
      <w:pPr>
        <w:pStyle w:val="null3"/>
        <w:jc w:val="left"/>
      </w:pPr>
      <w:r>
        <w:rPr/>
        <w:t>项目名称：</w:t>
      </w:r>
      <w:r>
        <w:rPr/>
        <w:t>2025年信息化运维服务项目</w:t>
      </w:r>
    </w:p>
    <w:p>
      <w:pPr>
        <w:pStyle w:val="null3"/>
        <w:jc w:val="left"/>
      </w:pPr>
      <w:r>
        <w:rPr/>
        <w:t xml:space="preserve"> 2025年执法系统运维服务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t xml:space="preserve"> 序号</w:t>
            </w:r>
          </w:p>
        </w:tc>
        <w:tc>
          <w:tcPr>
            <w:tcW w:type="dxa" w:w="755"/>
          </w:tcPr>
          <w:p>
            <w:pPr>
              <w:pStyle w:val="null3"/>
              <w:jc w:val="left"/>
            </w:pPr>
            <w:r>
              <w:rPr/>
              <w:t xml:space="preserve"> 服务名称</w:t>
            </w:r>
          </w:p>
        </w:tc>
        <w:tc>
          <w:tcPr>
            <w:tcW w:type="dxa" w:w="755"/>
          </w:tcPr>
          <w:p>
            <w:pPr>
              <w:pStyle w:val="null3"/>
              <w:jc w:val="left"/>
            </w:pPr>
            <w:r>
              <w:rPr/>
              <w:t xml:space="preserve"> 服务范围</w:t>
            </w:r>
          </w:p>
        </w:tc>
        <w:tc>
          <w:tcPr>
            <w:tcW w:type="dxa" w:w="755"/>
          </w:tcPr>
          <w:p>
            <w:pPr>
              <w:pStyle w:val="null3"/>
              <w:jc w:val="left"/>
            </w:pPr>
            <w:r>
              <w:rPr/>
              <w:t xml:space="preserve"> 服务要求</w:t>
            </w:r>
          </w:p>
        </w:tc>
        <w:tc>
          <w:tcPr>
            <w:tcW w:type="dxa" w:w="755"/>
          </w:tcPr>
          <w:p>
            <w:pPr>
              <w:pStyle w:val="null3"/>
              <w:jc w:val="left"/>
            </w:pPr>
            <w:r>
              <w:rPr/>
              <w:t xml:space="preserve"> 服务时间</w:t>
            </w:r>
          </w:p>
        </w:tc>
        <w:tc>
          <w:tcPr>
            <w:tcW w:type="dxa" w:w="755"/>
          </w:tcPr>
          <w:p>
            <w:pPr>
              <w:pStyle w:val="null3"/>
              <w:jc w:val="left"/>
            </w:pPr>
            <w:r>
              <w:rPr/>
              <w:t xml:space="preserve"> 服务标准</w:t>
            </w:r>
          </w:p>
        </w:tc>
        <w:tc>
          <w:tcPr>
            <w:tcW w:type="dxa" w:w="755"/>
          </w:tcPr>
          <w:p>
            <w:pPr>
              <w:pStyle w:val="null3"/>
              <w:jc w:val="left"/>
            </w:pPr>
            <w:r>
              <w:rPr/>
              <w:t xml:space="preserve"> 最高限价</w:t>
            </w:r>
          </w:p>
        </w:tc>
        <w:tc>
          <w:tcPr>
            <w:tcW w:type="dxa" w:w="755"/>
          </w:tcPr>
          <w:p>
            <w:pPr>
              <w:pStyle w:val="null3"/>
              <w:jc w:val="left"/>
            </w:pPr>
            <w:r>
              <w:rPr/>
              <w:t xml:space="preserve"> 单价</w:t>
            </w:r>
          </w:p>
        </w:tc>
        <w:tc>
          <w:tcPr>
            <w:tcW w:type="dxa" w:w="755"/>
          </w:tcPr>
          <w:p>
            <w:pPr>
              <w:pStyle w:val="null3"/>
              <w:jc w:val="left"/>
            </w:pPr>
            <w:r>
              <w:rPr/>
              <w:t xml:space="preserve"> 数量</w:t>
            </w:r>
          </w:p>
        </w:tc>
        <w:tc>
          <w:tcPr>
            <w:tcW w:type="dxa" w:w="755"/>
          </w:tcPr>
          <w:p>
            <w:pPr>
              <w:pStyle w:val="null3"/>
              <w:jc w:val="left"/>
            </w:pPr>
            <w:r>
              <w:rPr/>
              <w:t xml:space="preserve"> 计量单位</w:t>
            </w:r>
          </w:p>
        </w:tc>
        <w:tc>
          <w:tcPr>
            <w:tcW w:type="dxa" w:w="755"/>
          </w:tcPr>
          <w:p>
            <w:pPr>
              <w:pStyle w:val="null3"/>
              <w:jc w:val="left"/>
            </w:pPr>
            <w:r>
              <w:rPr/>
              <w:t xml:space="preserve"> 总价</w:t>
            </w:r>
          </w:p>
        </w:tc>
      </w:tr>
      <w:tr>
        <w:tc>
          <w:tcPr>
            <w:tcW w:type="dxa" w:w="755"/>
          </w:tcPr>
          <w:p>
            <w:pPr>
              <w:pStyle w:val="null3"/>
              <w:jc w:val="left"/>
            </w:pPr>
            <w:r>
              <w:rPr/>
              <w:t xml:space="preserve"> 1</w:t>
            </w:r>
          </w:p>
        </w:tc>
        <w:tc>
          <w:tcPr>
            <w:tcW w:type="dxa" w:w="755"/>
          </w:tcPr>
          <w:p>
            <w:pPr>
              <w:pStyle w:val="null3"/>
              <w:jc w:val="left"/>
            </w:pPr>
            <w:r>
              <w:rPr/>
              <w:t xml:space="preserve"> 2025年执法系统运维服务</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101000.0000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1.0000</w:t>
            </w:r>
          </w:p>
        </w:tc>
        <w:tc>
          <w:tcPr>
            <w:tcW w:type="dxa" w:w="755"/>
          </w:tcPr>
          <w:p>
            <w:pPr>
              <w:pStyle w:val="null3"/>
              <w:jc w:val="left"/>
            </w:pPr>
            <w:r>
              <w:rPr/>
              <w:t xml:space="preserve"> 项</w:t>
            </w:r>
          </w:p>
        </w:tc>
        <w:tc>
          <w:tcPr>
            <w:tcW w:type="dxa" w:w="755"/>
          </w:tcPr>
          <w:p>
            <w:pPr>
              <w:pStyle w:val="null3"/>
              <w:jc w:val="left"/>
            </w:pPr>
            <w:r>
              <w:rPr/>
              <w:t xml:space="preserve"> {供应商响应} </w:t>
            </w:r>
            <w:r>
              <w:rPr/>
              <w:t xml:space="preserve"> 元</w:t>
            </w:r>
          </w:p>
        </w:tc>
      </w:tr>
      <w:tr>
        <w:tc>
          <w:tcPr>
            <w:tcW w:type="dxa" w:w="755"/>
          </w:tcPr>
          <w:p>
            <w:pPr>
              <w:pStyle w:val="null3"/>
              <w:jc w:val="left"/>
            </w:pPr>
            <w:r>
              <w:rPr/>
              <w:t xml:space="preserve"> 2</w:t>
            </w:r>
          </w:p>
        </w:tc>
        <w:tc>
          <w:tcPr>
            <w:tcW w:type="dxa" w:w="755"/>
          </w:tcPr>
          <w:p>
            <w:pPr>
              <w:pStyle w:val="null3"/>
              <w:jc w:val="left"/>
            </w:pPr>
            <w:r>
              <w:rPr/>
              <w:t xml:space="preserve"> 2025年执法系统运维服务</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106000.0000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1.0000</w:t>
            </w:r>
          </w:p>
        </w:tc>
        <w:tc>
          <w:tcPr>
            <w:tcW w:type="dxa" w:w="755"/>
          </w:tcPr>
          <w:p>
            <w:pPr>
              <w:pStyle w:val="null3"/>
              <w:jc w:val="left"/>
            </w:pPr>
            <w:r>
              <w:rPr/>
              <w:t xml:space="preserve"> 项</w:t>
            </w:r>
          </w:p>
        </w:tc>
        <w:tc>
          <w:tcPr>
            <w:tcW w:type="dxa" w:w="755"/>
          </w:tcPr>
          <w:p>
            <w:pPr>
              <w:pStyle w:val="null3"/>
              <w:jc w:val="left"/>
            </w:pPr>
            <w:r>
              <w:rPr/>
              <w:t xml:space="preserve"> {供应商响应} </w:t>
            </w:r>
            <w:r>
              <w:rPr/>
              <w:t xml:space="preserve"> 元</w:t>
            </w:r>
          </w:p>
        </w:tc>
      </w:tr>
      <w:tr>
        <w:tc>
          <w:tcPr>
            <w:tcW w:type="dxa" w:w="755"/>
          </w:tcPr>
          <w:p>
            <w:pPr>
              <w:pStyle w:val="null3"/>
              <w:jc w:val="left"/>
            </w:pPr>
            <w:r>
              <w:rPr/>
              <w:t xml:space="preserve"> 3</w:t>
            </w:r>
          </w:p>
        </w:tc>
        <w:tc>
          <w:tcPr>
            <w:tcW w:type="dxa" w:w="755"/>
          </w:tcPr>
          <w:p>
            <w:pPr>
              <w:pStyle w:val="null3"/>
              <w:jc w:val="left"/>
            </w:pPr>
            <w:r>
              <w:rPr/>
              <w:t xml:space="preserve"> 2025年执法系统运维服务</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143000.0000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1.0000</w:t>
            </w:r>
          </w:p>
        </w:tc>
        <w:tc>
          <w:tcPr>
            <w:tcW w:type="dxa" w:w="755"/>
          </w:tcPr>
          <w:p>
            <w:pPr>
              <w:pStyle w:val="null3"/>
              <w:jc w:val="left"/>
            </w:pPr>
            <w:r>
              <w:rPr/>
              <w:t xml:space="preserve"> 项</w:t>
            </w:r>
          </w:p>
        </w:tc>
        <w:tc>
          <w:tcPr>
            <w:tcW w:type="dxa" w:w="755"/>
          </w:tcPr>
          <w:p>
            <w:pPr>
              <w:pStyle w:val="null3"/>
              <w:jc w:val="left"/>
            </w:pPr>
            <w:r>
              <w:rPr/>
              <w:t xml:space="preserve"> {供应商响应} </w:t>
            </w:r>
            <w:r>
              <w:rPr/>
              <w:t xml:space="preserve"> 元</w:t>
            </w:r>
          </w:p>
        </w:tc>
      </w:tr>
      <w:tr>
        <w:tc>
          <w:tcPr>
            <w:tcW w:type="dxa" w:w="755"/>
          </w:tcPr>
          <w:p>
            <w:pPr>
              <w:pStyle w:val="null3"/>
              <w:jc w:val="left"/>
            </w:pPr>
            <w:r>
              <w:rPr/>
              <w:t xml:space="preserve"> 4</w:t>
            </w:r>
          </w:p>
        </w:tc>
        <w:tc>
          <w:tcPr>
            <w:tcW w:type="dxa" w:w="755"/>
          </w:tcPr>
          <w:p>
            <w:pPr>
              <w:pStyle w:val="null3"/>
              <w:jc w:val="left"/>
            </w:pPr>
            <w:r>
              <w:rPr/>
              <w:t xml:space="preserve"> 2025年执法系统运维服务</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30000.0000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1.0000</w:t>
            </w:r>
          </w:p>
        </w:tc>
        <w:tc>
          <w:tcPr>
            <w:tcW w:type="dxa" w:w="755"/>
          </w:tcPr>
          <w:p>
            <w:pPr>
              <w:pStyle w:val="null3"/>
              <w:jc w:val="left"/>
            </w:pPr>
            <w:r>
              <w:rPr/>
              <w:t xml:space="preserve"> 项</w:t>
            </w:r>
          </w:p>
        </w:tc>
        <w:tc>
          <w:tcPr>
            <w:tcW w:type="dxa" w:w="755"/>
          </w:tcPr>
          <w:p>
            <w:pPr>
              <w:pStyle w:val="null3"/>
              <w:jc w:val="left"/>
            </w:pPr>
            <w:r>
              <w:rPr/>
              <w:t xml:space="preserve"> {供应商响应} </w:t>
            </w:r>
            <w:r>
              <w:rPr/>
              <w:t xml:space="preserve"> 元</w:t>
            </w:r>
          </w:p>
        </w:tc>
      </w:tr>
      <w:tr>
        <w:tc>
          <w:tcPr>
            <w:tcW w:type="dxa" w:w="755"/>
          </w:tcPr>
          <w:p>
            <w:pPr>
              <w:pStyle w:val="null3"/>
              <w:jc w:val="left"/>
            </w:pPr>
            <w:r>
              <w:rPr/>
              <w:t xml:space="preserve"> 5</w:t>
            </w:r>
          </w:p>
        </w:tc>
        <w:tc>
          <w:tcPr>
            <w:tcW w:type="dxa" w:w="755"/>
          </w:tcPr>
          <w:p>
            <w:pPr>
              <w:pStyle w:val="null3"/>
              <w:jc w:val="left"/>
            </w:pPr>
            <w:r>
              <w:rPr/>
              <w:t xml:space="preserve"> 2025年执法系统运维服务</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30000.0000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1.0000</w:t>
            </w:r>
          </w:p>
        </w:tc>
        <w:tc>
          <w:tcPr>
            <w:tcW w:type="dxa" w:w="755"/>
          </w:tcPr>
          <w:p>
            <w:pPr>
              <w:pStyle w:val="null3"/>
              <w:jc w:val="left"/>
            </w:pPr>
            <w:r>
              <w:rPr/>
              <w:t xml:space="preserve"> 项</w:t>
            </w:r>
          </w:p>
        </w:tc>
        <w:tc>
          <w:tcPr>
            <w:tcW w:type="dxa" w:w="755"/>
          </w:tcPr>
          <w:p>
            <w:pPr>
              <w:pStyle w:val="null3"/>
              <w:jc w:val="left"/>
            </w:pPr>
            <w:r>
              <w:rPr/>
              <w:t xml:space="preserve"> {供应商响应} </w:t>
            </w:r>
            <w:r>
              <w:rPr/>
              <w:t xml:space="preserve"> 元</w:t>
            </w:r>
          </w:p>
        </w:tc>
      </w:tr>
      <w:tr>
        <w:tc>
          <w:tcPr>
            <w:tcW w:type="dxa" w:w="755"/>
          </w:tcPr>
          <w:p>
            <w:pPr>
              <w:pStyle w:val="null3"/>
              <w:jc w:val="left"/>
            </w:pPr>
            <w:r>
              <w:rPr/>
              <w:t xml:space="preserve"> 6</w:t>
            </w:r>
          </w:p>
        </w:tc>
        <w:tc>
          <w:tcPr>
            <w:tcW w:type="dxa" w:w="755"/>
          </w:tcPr>
          <w:p>
            <w:pPr>
              <w:pStyle w:val="null3"/>
              <w:jc w:val="left"/>
            </w:pPr>
            <w:r>
              <w:rPr/>
              <w:t xml:space="preserve"> 2025年执法系统运维服务</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30000.0000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1.0000</w:t>
            </w:r>
          </w:p>
        </w:tc>
        <w:tc>
          <w:tcPr>
            <w:tcW w:type="dxa" w:w="755"/>
          </w:tcPr>
          <w:p>
            <w:pPr>
              <w:pStyle w:val="null3"/>
              <w:jc w:val="left"/>
            </w:pPr>
            <w:r>
              <w:rPr/>
              <w:t xml:space="preserve"> 项</w:t>
            </w:r>
          </w:p>
        </w:tc>
        <w:tc>
          <w:tcPr>
            <w:tcW w:type="dxa" w:w="755"/>
          </w:tcPr>
          <w:p>
            <w:pPr>
              <w:pStyle w:val="null3"/>
              <w:jc w:val="left"/>
            </w:pPr>
            <w:r>
              <w:rPr/>
              <w:t xml:space="preserve"> {供应商响应} </w:t>
            </w:r>
            <w:r>
              <w:rPr/>
              <w:t xml:space="preserve"> 元</w:t>
            </w:r>
          </w:p>
        </w:tc>
      </w:tr>
      <w:tr>
        <w:tc>
          <w:tcPr>
            <w:tcW w:type="dxa" w:w="755"/>
          </w:tcPr>
          <w:p>
            <w:pPr>
              <w:pStyle w:val="null3"/>
              <w:jc w:val="left"/>
            </w:pPr>
            <w:r>
              <w:rPr/>
              <w:t xml:space="preserve"> 7</w:t>
            </w:r>
          </w:p>
        </w:tc>
        <w:tc>
          <w:tcPr>
            <w:tcW w:type="dxa" w:w="755"/>
          </w:tcPr>
          <w:p>
            <w:pPr>
              <w:pStyle w:val="null3"/>
              <w:jc w:val="left"/>
            </w:pPr>
            <w:r>
              <w:rPr/>
              <w:t xml:space="preserve"> 2025年执法系统运维服务</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10000.0000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1.0000</w:t>
            </w:r>
          </w:p>
        </w:tc>
        <w:tc>
          <w:tcPr>
            <w:tcW w:type="dxa" w:w="755"/>
          </w:tcPr>
          <w:p>
            <w:pPr>
              <w:pStyle w:val="null3"/>
              <w:jc w:val="left"/>
            </w:pPr>
            <w:r>
              <w:rPr/>
              <w:t xml:space="preserve"> 项</w:t>
            </w:r>
          </w:p>
        </w:tc>
        <w:tc>
          <w:tcPr>
            <w:tcW w:type="dxa" w:w="755"/>
          </w:tcPr>
          <w:p>
            <w:pPr>
              <w:pStyle w:val="null3"/>
              <w:jc w:val="left"/>
            </w:pPr>
            <w:r>
              <w:rPr/>
              <w:t xml:space="preserve"> {供应商响应} </w:t>
            </w:r>
            <w:r>
              <w:rPr/>
              <w:t xml:space="preserve"> 元</w:t>
            </w:r>
          </w:p>
        </w:tc>
      </w:tr>
    </w:tbl>
    <w:p>
      <w:pPr>
        <w:pStyle w:val="null3"/>
        <w:jc w:val="left"/>
      </w:pPr>
      <w:r>
        <w:rPr/>
        <w:t>合计</w:t>
      </w:r>
      <w:r>
        <w:rPr/>
        <w:t>：</w:t>
      </w:r>
    </w:p>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jc w:val="left"/>
        <w:outlineLvl w:val="0"/>
      </w:pPr>
      <w:r>
        <w:rPr>
          <w:sz w:val="48"/>
          <w:b/>
        </w:rPr>
        <w:t>开标（报价）一览表</w:t>
      </w:r>
    </w:p>
    <w:p>
      <w:pPr>
        <w:pStyle w:val="null3"/>
        <w:jc w:val="left"/>
      </w:pPr>
      <w:r>
        <w:rPr/>
        <w:t>公司名称：</w:t>
      </w:r>
    </w:p>
    <w:p>
      <w:pPr>
        <w:pStyle w:val="null3"/>
        <w:jc w:val="left"/>
      </w:pPr>
      <w:r>
        <w:rPr/>
        <w:t>包号：</w:t>
      </w:r>
      <w:r>
        <w:rPr/>
        <w:t>2</w:t>
      </w:r>
    </w:p>
    <w:p>
      <w:pPr>
        <w:pStyle w:val="null3"/>
        <w:jc w:val="left"/>
      </w:pPr>
      <w:r>
        <w:rPr/>
        <w:t>项目编号：</w:t>
      </w:r>
      <w:r>
        <w:rPr/>
        <w:t>[350001]HYG[GK]2024013</w:t>
      </w:r>
    </w:p>
    <w:p>
      <w:pPr>
        <w:pStyle w:val="null3"/>
        <w:jc w:val="left"/>
      </w:pPr>
      <w:r>
        <w:rPr/>
        <w:t>项目名称：</w:t>
      </w:r>
      <w:r>
        <w:rPr/>
        <w:t>2025年信息化运维服务项目</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 xml:space="preserve"> 序号</w:t>
            </w:r>
          </w:p>
        </w:tc>
        <w:tc>
          <w:tcPr>
            <w:tcW w:type="dxa" w:w="1661"/>
          </w:tcPr>
          <w:p>
            <w:pPr>
              <w:pStyle w:val="null3"/>
              <w:jc w:val="left"/>
            </w:pPr>
            <w:r>
              <w:rPr/>
              <w:t xml:space="preserve"> 报价内容</w:t>
            </w:r>
          </w:p>
        </w:tc>
        <w:tc>
          <w:tcPr>
            <w:tcW w:type="dxa" w:w="1661"/>
          </w:tcPr>
          <w:p>
            <w:pPr>
              <w:pStyle w:val="null3"/>
              <w:jc w:val="left"/>
            </w:pPr>
            <w:r>
              <w:rPr/>
              <w:t xml:space="preserve"> 最高限价</w:t>
            </w:r>
          </w:p>
        </w:tc>
        <w:tc>
          <w:tcPr>
            <w:tcW w:type="dxa" w:w="1661"/>
          </w:tcPr>
          <w:p>
            <w:pPr>
              <w:pStyle w:val="null3"/>
              <w:jc w:val="left"/>
            </w:pPr>
            <w:r>
              <w:rPr/>
              <w:t xml:space="preserve"> 响应报价</w:t>
            </w:r>
          </w:p>
        </w:tc>
        <w:tc>
          <w:tcPr>
            <w:tcW w:type="dxa" w:w="1661"/>
          </w:tcPr>
          <w:p>
            <w:pPr>
              <w:pStyle w:val="null3"/>
              <w:jc w:val="left"/>
            </w:pPr>
            <w:r>
              <w:rPr/>
              <w:t xml:space="preserve"> 价款形式</w:t>
            </w:r>
          </w:p>
        </w:tc>
      </w:tr>
      <w:tr>
        <w:tc>
          <w:tcPr>
            <w:tcW w:type="dxa" w:w="1661"/>
          </w:tcPr>
          <w:p>
            <w:pPr>
              <w:pStyle w:val="null3"/>
              <w:jc w:val="left"/>
            </w:pPr>
            <w:r>
              <w:rPr/>
              <w:t xml:space="preserve"> 1</w:t>
            </w:r>
          </w:p>
        </w:tc>
        <w:tc>
          <w:tcPr>
            <w:tcW w:type="dxa" w:w="1661"/>
          </w:tcPr>
          <w:p>
            <w:pPr>
              <w:pStyle w:val="null3"/>
              <w:jc w:val="left"/>
            </w:pPr>
            <w:r>
              <w:rPr/>
              <w:t xml:space="preserve"> 2025年办公信息化运维服务</w:t>
            </w:r>
          </w:p>
        </w:tc>
        <w:tc>
          <w:tcPr>
            <w:tcW w:type="dxa" w:w="1661"/>
          </w:tcPr>
          <w:p>
            <w:pPr>
              <w:pStyle w:val="null3"/>
              <w:jc w:val="left"/>
            </w:pPr>
            <w:r>
              <w:rPr/>
              <w:t xml:space="preserve"> 400000.0000 </w:t>
            </w:r>
            <w:r>
              <w:rPr/>
              <w:t xml:space="preserve"> 元</w:t>
            </w:r>
          </w:p>
        </w:tc>
        <w:tc>
          <w:tcPr>
            <w:tcW w:type="dxa" w:w="1661"/>
          </w:tcPr>
          <w:p>
            <w:pPr>
              <w:pStyle w:val="null3"/>
              <w:jc w:val="left"/>
            </w:pPr>
            <w:r>
              <w:rPr/>
              <w:t xml:space="preserve"> 「汇总引用」 </w:t>
            </w:r>
            <w:r>
              <w:rPr/>
              <w:t xml:space="preserve"> 元</w:t>
            </w:r>
          </w:p>
        </w:tc>
        <w:tc>
          <w:tcPr>
            <w:tcW w:type="dxa" w:w="1661"/>
          </w:tcPr>
          <w:p>
            <w:pPr>
              <w:pStyle w:val="null3"/>
              <w:jc w:val="left"/>
            </w:pPr>
            <w:r>
              <w:rPr/>
              <w:t xml:space="preserve"> 总价</w:t>
            </w:r>
          </w:p>
        </w:tc>
      </w:tr>
    </w:tbl>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jc w:val="left"/>
        <w:outlineLvl w:val="0"/>
      </w:pPr>
      <w:r>
        <w:rPr>
          <w:sz w:val="48"/>
          <w:b/>
        </w:rPr>
        <w:t>投标（响应）报价明细表</w:t>
      </w:r>
    </w:p>
    <w:p>
      <w:pPr>
        <w:pStyle w:val="null3"/>
        <w:jc w:val="left"/>
      </w:pPr>
      <w:r>
        <w:rPr/>
        <w:t>公司名称：</w:t>
      </w:r>
    </w:p>
    <w:p>
      <w:pPr>
        <w:pStyle w:val="null3"/>
        <w:jc w:val="left"/>
      </w:pPr>
      <w:r>
        <w:rPr/>
        <w:t>包号：</w:t>
      </w:r>
      <w:r>
        <w:rPr/>
        <w:t>2</w:t>
      </w:r>
    </w:p>
    <w:p>
      <w:pPr>
        <w:pStyle w:val="null3"/>
        <w:jc w:val="left"/>
      </w:pPr>
      <w:r>
        <w:rPr/>
        <w:t>项目编号：</w:t>
      </w:r>
      <w:r>
        <w:rPr/>
        <w:t>[350001]HYG[GK]2024013</w:t>
      </w:r>
    </w:p>
    <w:p>
      <w:pPr>
        <w:pStyle w:val="null3"/>
        <w:jc w:val="left"/>
      </w:pPr>
      <w:r>
        <w:rPr/>
        <w:t>项目名称：</w:t>
      </w:r>
      <w:r>
        <w:rPr/>
        <w:t>2025年信息化运维服务项目</w:t>
      </w:r>
    </w:p>
    <w:p>
      <w:pPr>
        <w:pStyle w:val="null3"/>
        <w:jc w:val="left"/>
      </w:pPr>
      <w:r>
        <w:rPr/>
        <w:t xml:space="preserve"> 2025年办公信息化运维服务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t xml:space="preserve"> 序号</w:t>
            </w:r>
          </w:p>
        </w:tc>
        <w:tc>
          <w:tcPr>
            <w:tcW w:type="dxa" w:w="755"/>
          </w:tcPr>
          <w:p>
            <w:pPr>
              <w:pStyle w:val="null3"/>
              <w:jc w:val="left"/>
            </w:pPr>
            <w:r>
              <w:rPr/>
              <w:t xml:space="preserve"> 服务名称</w:t>
            </w:r>
          </w:p>
        </w:tc>
        <w:tc>
          <w:tcPr>
            <w:tcW w:type="dxa" w:w="755"/>
          </w:tcPr>
          <w:p>
            <w:pPr>
              <w:pStyle w:val="null3"/>
              <w:jc w:val="left"/>
            </w:pPr>
            <w:r>
              <w:rPr/>
              <w:t xml:space="preserve"> 服务范围</w:t>
            </w:r>
          </w:p>
        </w:tc>
        <w:tc>
          <w:tcPr>
            <w:tcW w:type="dxa" w:w="755"/>
          </w:tcPr>
          <w:p>
            <w:pPr>
              <w:pStyle w:val="null3"/>
              <w:jc w:val="left"/>
            </w:pPr>
            <w:r>
              <w:rPr/>
              <w:t xml:space="preserve"> 服务要求</w:t>
            </w:r>
          </w:p>
        </w:tc>
        <w:tc>
          <w:tcPr>
            <w:tcW w:type="dxa" w:w="755"/>
          </w:tcPr>
          <w:p>
            <w:pPr>
              <w:pStyle w:val="null3"/>
              <w:jc w:val="left"/>
            </w:pPr>
            <w:r>
              <w:rPr/>
              <w:t xml:space="preserve"> 服务时间</w:t>
            </w:r>
          </w:p>
        </w:tc>
        <w:tc>
          <w:tcPr>
            <w:tcW w:type="dxa" w:w="755"/>
          </w:tcPr>
          <w:p>
            <w:pPr>
              <w:pStyle w:val="null3"/>
              <w:jc w:val="left"/>
            </w:pPr>
            <w:r>
              <w:rPr/>
              <w:t xml:space="preserve"> 服务标准</w:t>
            </w:r>
          </w:p>
        </w:tc>
        <w:tc>
          <w:tcPr>
            <w:tcW w:type="dxa" w:w="755"/>
          </w:tcPr>
          <w:p>
            <w:pPr>
              <w:pStyle w:val="null3"/>
              <w:jc w:val="left"/>
            </w:pPr>
            <w:r>
              <w:rPr/>
              <w:t xml:space="preserve"> 最高限价</w:t>
            </w:r>
          </w:p>
        </w:tc>
        <w:tc>
          <w:tcPr>
            <w:tcW w:type="dxa" w:w="755"/>
          </w:tcPr>
          <w:p>
            <w:pPr>
              <w:pStyle w:val="null3"/>
              <w:jc w:val="left"/>
            </w:pPr>
            <w:r>
              <w:rPr/>
              <w:t xml:space="preserve"> 单价</w:t>
            </w:r>
          </w:p>
        </w:tc>
        <w:tc>
          <w:tcPr>
            <w:tcW w:type="dxa" w:w="755"/>
          </w:tcPr>
          <w:p>
            <w:pPr>
              <w:pStyle w:val="null3"/>
              <w:jc w:val="left"/>
            </w:pPr>
            <w:r>
              <w:rPr/>
              <w:t xml:space="preserve"> 数量</w:t>
            </w:r>
          </w:p>
        </w:tc>
        <w:tc>
          <w:tcPr>
            <w:tcW w:type="dxa" w:w="755"/>
          </w:tcPr>
          <w:p>
            <w:pPr>
              <w:pStyle w:val="null3"/>
              <w:jc w:val="left"/>
            </w:pPr>
            <w:r>
              <w:rPr/>
              <w:t xml:space="preserve"> 计量单位</w:t>
            </w:r>
          </w:p>
        </w:tc>
        <w:tc>
          <w:tcPr>
            <w:tcW w:type="dxa" w:w="755"/>
          </w:tcPr>
          <w:p>
            <w:pPr>
              <w:pStyle w:val="null3"/>
              <w:jc w:val="left"/>
            </w:pPr>
            <w:r>
              <w:rPr/>
              <w:t xml:space="preserve"> 总价</w:t>
            </w:r>
          </w:p>
        </w:tc>
      </w:tr>
      <w:tr>
        <w:tc>
          <w:tcPr>
            <w:tcW w:type="dxa" w:w="755"/>
          </w:tcPr>
          <w:p>
            <w:pPr>
              <w:pStyle w:val="null3"/>
              <w:jc w:val="left"/>
            </w:pPr>
            <w:r>
              <w:rPr/>
              <w:t xml:space="preserve"> 1</w:t>
            </w:r>
          </w:p>
        </w:tc>
        <w:tc>
          <w:tcPr>
            <w:tcW w:type="dxa" w:w="755"/>
          </w:tcPr>
          <w:p>
            <w:pPr>
              <w:pStyle w:val="null3"/>
              <w:jc w:val="left"/>
            </w:pPr>
            <w:r>
              <w:rPr/>
              <w:t xml:space="preserve"> 2025年办公信息化运维服务</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150000.0000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1.0000</w:t>
            </w:r>
          </w:p>
        </w:tc>
        <w:tc>
          <w:tcPr>
            <w:tcW w:type="dxa" w:w="755"/>
          </w:tcPr>
          <w:p>
            <w:pPr>
              <w:pStyle w:val="null3"/>
              <w:jc w:val="left"/>
            </w:pPr>
            <w:r>
              <w:rPr/>
              <w:t xml:space="preserve"> 项目</w:t>
            </w:r>
          </w:p>
        </w:tc>
        <w:tc>
          <w:tcPr>
            <w:tcW w:type="dxa" w:w="755"/>
          </w:tcPr>
          <w:p>
            <w:pPr>
              <w:pStyle w:val="null3"/>
              <w:jc w:val="left"/>
            </w:pPr>
            <w:r>
              <w:rPr/>
              <w:t xml:space="preserve"> {供应商响应} </w:t>
            </w:r>
            <w:r>
              <w:rPr/>
              <w:t xml:space="preserve"> 元</w:t>
            </w:r>
          </w:p>
        </w:tc>
      </w:tr>
      <w:tr>
        <w:tc>
          <w:tcPr>
            <w:tcW w:type="dxa" w:w="755"/>
          </w:tcPr>
          <w:p>
            <w:pPr>
              <w:pStyle w:val="null3"/>
              <w:jc w:val="left"/>
            </w:pPr>
            <w:r>
              <w:rPr/>
              <w:t xml:space="preserve"> 2</w:t>
            </w:r>
          </w:p>
        </w:tc>
        <w:tc>
          <w:tcPr>
            <w:tcW w:type="dxa" w:w="755"/>
          </w:tcPr>
          <w:p>
            <w:pPr>
              <w:pStyle w:val="null3"/>
              <w:jc w:val="left"/>
            </w:pPr>
            <w:r>
              <w:rPr/>
              <w:t xml:space="preserve"> 2025年办公信息化运维服务</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50000.0000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1.0000</w:t>
            </w:r>
          </w:p>
        </w:tc>
        <w:tc>
          <w:tcPr>
            <w:tcW w:type="dxa" w:w="755"/>
          </w:tcPr>
          <w:p>
            <w:pPr>
              <w:pStyle w:val="null3"/>
              <w:jc w:val="left"/>
            </w:pPr>
            <w:r>
              <w:rPr/>
              <w:t xml:space="preserve"> 项</w:t>
            </w:r>
          </w:p>
        </w:tc>
        <w:tc>
          <w:tcPr>
            <w:tcW w:type="dxa" w:w="755"/>
          </w:tcPr>
          <w:p>
            <w:pPr>
              <w:pStyle w:val="null3"/>
              <w:jc w:val="left"/>
            </w:pPr>
            <w:r>
              <w:rPr/>
              <w:t xml:space="preserve"> {供应商响应} </w:t>
            </w:r>
            <w:r>
              <w:rPr/>
              <w:t xml:space="preserve"> 元</w:t>
            </w:r>
          </w:p>
        </w:tc>
      </w:tr>
      <w:tr>
        <w:tc>
          <w:tcPr>
            <w:tcW w:type="dxa" w:w="755"/>
          </w:tcPr>
          <w:p>
            <w:pPr>
              <w:pStyle w:val="null3"/>
              <w:jc w:val="left"/>
            </w:pPr>
            <w:r>
              <w:rPr/>
              <w:t xml:space="preserve"> 3</w:t>
            </w:r>
          </w:p>
        </w:tc>
        <w:tc>
          <w:tcPr>
            <w:tcW w:type="dxa" w:w="755"/>
          </w:tcPr>
          <w:p>
            <w:pPr>
              <w:pStyle w:val="null3"/>
              <w:jc w:val="left"/>
            </w:pPr>
            <w:r>
              <w:rPr/>
              <w:t xml:space="preserve"> 2025年办公信息化运维服务</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100000.0000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1.0000</w:t>
            </w:r>
          </w:p>
        </w:tc>
        <w:tc>
          <w:tcPr>
            <w:tcW w:type="dxa" w:w="755"/>
          </w:tcPr>
          <w:p>
            <w:pPr>
              <w:pStyle w:val="null3"/>
              <w:jc w:val="left"/>
            </w:pPr>
            <w:r>
              <w:rPr/>
              <w:t xml:space="preserve"> 项</w:t>
            </w:r>
          </w:p>
        </w:tc>
        <w:tc>
          <w:tcPr>
            <w:tcW w:type="dxa" w:w="755"/>
          </w:tcPr>
          <w:p>
            <w:pPr>
              <w:pStyle w:val="null3"/>
              <w:jc w:val="left"/>
            </w:pPr>
            <w:r>
              <w:rPr/>
              <w:t xml:space="preserve"> {供应商响应} </w:t>
            </w:r>
            <w:r>
              <w:rPr/>
              <w:t xml:space="preserve"> 元</w:t>
            </w:r>
          </w:p>
        </w:tc>
      </w:tr>
      <w:tr>
        <w:tc>
          <w:tcPr>
            <w:tcW w:type="dxa" w:w="755"/>
          </w:tcPr>
          <w:p>
            <w:pPr>
              <w:pStyle w:val="null3"/>
              <w:jc w:val="left"/>
            </w:pPr>
            <w:r>
              <w:rPr/>
              <w:t xml:space="preserve"> 4</w:t>
            </w:r>
          </w:p>
        </w:tc>
        <w:tc>
          <w:tcPr>
            <w:tcW w:type="dxa" w:w="755"/>
          </w:tcPr>
          <w:p>
            <w:pPr>
              <w:pStyle w:val="null3"/>
              <w:jc w:val="left"/>
            </w:pPr>
            <w:r>
              <w:rPr/>
              <w:t xml:space="preserve"> 2025年办公信息化运维服务</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50000.0000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1.0000</w:t>
            </w:r>
          </w:p>
        </w:tc>
        <w:tc>
          <w:tcPr>
            <w:tcW w:type="dxa" w:w="755"/>
          </w:tcPr>
          <w:p>
            <w:pPr>
              <w:pStyle w:val="null3"/>
              <w:jc w:val="left"/>
            </w:pPr>
            <w:r>
              <w:rPr/>
              <w:t xml:space="preserve"> 项</w:t>
            </w:r>
          </w:p>
        </w:tc>
        <w:tc>
          <w:tcPr>
            <w:tcW w:type="dxa" w:w="755"/>
          </w:tcPr>
          <w:p>
            <w:pPr>
              <w:pStyle w:val="null3"/>
              <w:jc w:val="left"/>
            </w:pPr>
            <w:r>
              <w:rPr/>
              <w:t xml:space="preserve"> {供应商响应} </w:t>
            </w:r>
            <w:r>
              <w:rPr/>
              <w:t xml:space="preserve"> 元</w:t>
            </w:r>
          </w:p>
        </w:tc>
      </w:tr>
      <w:tr>
        <w:tc>
          <w:tcPr>
            <w:tcW w:type="dxa" w:w="755"/>
          </w:tcPr>
          <w:p>
            <w:pPr>
              <w:pStyle w:val="null3"/>
              <w:jc w:val="left"/>
            </w:pPr>
            <w:r>
              <w:rPr/>
              <w:t xml:space="preserve"> 5</w:t>
            </w:r>
          </w:p>
        </w:tc>
        <w:tc>
          <w:tcPr>
            <w:tcW w:type="dxa" w:w="755"/>
          </w:tcPr>
          <w:p>
            <w:pPr>
              <w:pStyle w:val="null3"/>
              <w:jc w:val="left"/>
            </w:pPr>
            <w:r>
              <w:rPr/>
              <w:t xml:space="preserve"> 2025年办公信息化运维服务</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50000.0000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1.0000</w:t>
            </w:r>
          </w:p>
        </w:tc>
        <w:tc>
          <w:tcPr>
            <w:tcW w:type="dxa" w:w="755"/>
          </w:tcPr>
          <w:p>
            <w:pPr>
              <w:pStyle w:val="null3"/>
              <w:jc w:val="left"/>
            </w:pPr>
            <w:r>
              <w:rPr/>
              <w:t xml:space="preserve"> 项</w:t>
            </w:r>
          </w:p>
        </w:tc>
        <w:tc>
          <w:tcPr>
            <w:tcW w:type="dxa" w:w="755"/>
          </w:tcPr>
          <w:p>
            <w:pPr>
              <w:pStyle w:val="null3"/>
              <w:jc w:val="left"/>
            </w:pPr>
            <w:r>
              <w:rPr/>
              <w:t xml:space="preserve"> {供应商响应} </w:t>
            </w:r>
            <w:r>
              <w:rPr/>
              <w:t xml:space="preserve"> 元</w:t>
            </w:r>
          </w:p>
        </w:tc>
      </w:tr>
    </w:tbl>
    <w:p>
      <w:pPr>
        <w:pStyle w:val="null3"/>
        <w:jc w:val="left"/>
      </w:pPr>
      <w:r>
        <w:rPr/>
        <w:t>合计</w:t>
      </w:r>
      <w:r>
        <w:rPr/>
        <w:t>：</w:t>
      </w:r>
    </w:p>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jc w:val="left"/>
        <w:outlineLvl w:val="0"/>
      </w:pPr>
      <w:r>
        <w:rPr>
          <w:sz w:val="48"/>
          <w:b/>
        </w:rPr>
        <w:t>开标（报价）一览表</w:t>
      </w:r>
    </w:p>
    <w:p>
      <w:pPr>
        <w:pStyle w:val="null3"/>
        <w:jc w:val="left"/>
      </w:pPr>
      <w:r>
        <w:rPr/>
        <w:t>公司名称：</w:t>
      </w:r>
    </w:p>
    <w:p>
      <w:pPr>
        <w:pStyle w:val="null3"/>
        <w:jc w:val="left"/>
      </w:pPr>
      <w:r>
        <w:rPr/>
        <w:t>包号：</w:t>
      </w:r>
      <w:r>
        <w:rPr/>
        <w:t>3</w:t>
      </w:r>
    </w:p>
    <w:p>
      <w:pPr>
        <w:pStyle w:val="null3"/>
        <w:jc w:val="left"/>
      </w:pPr>
      <w:r>
        <w:rPr/>
        <w:t>项目编号：</w:t>
      </w:r>
      <w:r>
        <w:rPr/>
        <w:t>[350001]HYG[GK]2024013</w:t>
      </w:r>
    </w:p>
    <w:p>
      <w:pPr>
        <w:pStyle w:val="null3"/>
        <w:jc w:val="left"/>
      </w:pPr>
      <w:r>
        <w:rPr/>
        <w:t>项目名称：</w:t>
      </w:r>
      <w:r>
        <w:rPr/>
        <w:t>2025年信息化运维服务项目</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 xml:space="preserve"> 序号</w:t>
            </w:r>
          </w:p>
        </w:tc>
        <w:tc>
          <w:tcPr>
            <w:tcW w:type="dxa" w:w="1661"/>
          </w:tcPr>
          <w:p>
            <w:pPr>
              <w:pStyle w:val="null3"/>
              <w:jc w:val="left"/>
            </w:pPr>
            <w:r>
              <w:rPr/>
              <w:t xml:space="preserve"> 报价内容</w:t>
            </w:r>
          </w:p>
        </w:tc>
        <w:tc>
          <w:tcPr>
            <w:tcW w:type="dxa" w:w="1661"/>
          </w:tcPr>
          <w:p>
            <w:pPr>
              <w:pStyle w:val="null3"/>
              <w:jc w:val="left"/>
            </w:pPr>
            <w:r>
              <w:rPr/>
              <w:t xml:space="preserve"> 最高限价</w:t>
            </w:r>
          </w:p>
        </w:tc>
        <w:tc>
          <w:tcPr>
            <w:tcW w:type="dxa" w:w="1661"/>
          </w:tcPr>
          <w:p>
            <w:pPr>
              <w:pStyle w:val="null3"/>
              <w:jc w:val="left"/>
            </w:pPr>
            <w:r>
              <w:rPr/>
              <w:t xml:space="preserve"> 响应报价</w:t>
            </w:r>
          </w:p>
        </w:tc>
        <w:tc>
          <w:tcPr>
            <w:tcW w:type="dxa" w:w="1661"/>
          </w:tcPr>
          <w:p>
            <w:pPr>
              <w:pStyle w:val="null3"/>
              <w:jc w:val="left"/>
            </w:pPr>
            <w:r>
              <w:rPr/>
              <w:t xml:space="preserve"> 价款形式</w:t>
            </w:r>
          </w:p>
        </w:tc>
      </w:tr>
      <w:tr>
        <w:tc>
          <w:tcPr>
            <w:tcW w:type="dxa" w:w="1661"/>
          </w:tcPr>
          <w:p>
            <w:pPr>
              <w:pStyle w:val="null3"/>
              <w:jc w:val="left"/>
            </w:pPr>
            <w:r>
              <w:rPr/>
              <w:t xml:space="preserve"> 1</w:t>
            </w:r>
          </w:p>
        </w:tc>
        <w:tc>
          <w:tcPr>
            <w:tcW w:type="dxa" w:w="1661"/>
          </w:tcPr>
          <w:p>
            <w:pPr>
              <w:pStyle w:val="null3"/>
              <w:jc w:val="left"/>
            </w:pPr>
            <w:r>
              <w:rPr/>
              <w:t xml:space="preserve"> 2025年网络与信息系统安全服务</w:t>
            </w:r>
          </w:p>
        </w:tc>
        <w:tc>
          <w:tcPr>
            <w:tcW w:type="dxa" w:w="1661"/>
          </w:tcPr>
          <w:p>
            <w:pPr>
              <w:pStyle w:val="null3"/>
              <w:jc w:val="left"/>
            </w:pPr>
            <w:r>
              <w:rPr/>
              <w:t xml:space="preserve"> 500000.0000 </w:t>
            </w:r>
            <w:r>
              <w:rPr/>
              <w:t xml:space="preserve"> 元</w:t>
            </w:r>
          </w:p>
        </w:tc>
        <w:tc>
          <w:tcPr>
            <w:tcW w:type="dxa" w:w="1661"/>
          </w:tcPr>
          <w:p>
            <w:pPr>
              <w:pStyle w:val="null3"/>
              <w:jc w:val="left"/>
            </w:pPr>
            <w:r>
              <w:rPr/>
              <w:t xml:space="preserve"> 「汇总引用」 </w:t>
            </w:r>
            <w:r>
              <w:rPr/>
              <w:t xml:space="preserve"> 元</w:t>
            </w:r>
          </w:p>
        </w:tc>
        <w:tc>
          <w:tcPr>
            <w:tcW w:type="dxa" w:w="1661"/>
          </w:tcPr>
          <w:p>
            <w:pPr>
              <w:pStyle w:val="null3"/>
              <w:jc w:val="left"/>
            </w:pPr>
            <w:r>
              <w:rPr/>
              <w:t xml:space="preserve"> 总价</w:t>
            </w:r>
          </w:p>
        </w:tc>
      </w:tr>
    </w:tbl>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jc w:val="left"/>
        <w:outlineLvl w:val="0"/>
      </w:pPr>
      <w:r>
        <w:rPr>
          <w:sz w:val="48"/>
          <w:b/>
        </w:rPr>
        <w:t>投标（响应）报价明细表</w:t>
      </w:r>
    </w:p>
    <w:p>
      <w:pPr>
        <w:pStyle w:val="null3"/>
        <w:jc w:val="left"/>
      </w:pPr>
      <w:r>
        <w:rPr/>
        <w:t>公司名称：</w:t>
      </w:r>
    </w:p>
    <w:p>
      <w:pPr>
        <w:pStyle w:val="null3"/>
        <w:jc w:val="left"/>
      </w:pPr>
      <w:r>
        <w:rPr/>
        <w:t>包号：</w:t>
      </w:r>
      <w:r>
        <w:rPr/>
        <w:t>3</w:t>
      </w:r>
    </w:p>
    <w:p>
      <w:pPr>
        <w:pStyle w:val="null3"/>
        <w:jc w:val="left"/>
      </w:pPr>
      <w:r>
        <w:rPr/>
        <w:t>项目编号：</w:t>
      </w:r>
      <w:r>
        <w:rPr/>
        <w:t>[350001]HYG[GK]2024013</w:t>
      </w:r>
    </w:p>
    <w:p>
      <w:pPr>
        <w:pStyle w:val="null3"/>
        <w:jc w:val="left"/>
      </w:pPr>
      <w:r>
        <w:rPr/>
        <w:t>项目名称：</w:t>
      </w:r>
      <w:r>
        <w:rPr/>
        <w:t>2025年信息化运维服务项目</w:t>
      </w:r>
    </w:p>
    <w:p>
      <w:pPr>
        <w:pStyle w:val="null3"/>
        <w:jc w:val="left"/>
      </w:pPr>
      <w:r>
        <w:rPr/>
        <w:t xml:space="preserve"> 2025年网络与信息系统安全服务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t xml:space="preserve"> 序号</w:t>
            </w:r>
          </w:p>
        </w:tc>
        <w:tc>
          <w:tcPr>
            <w:tcW w:type="dxa" w:w="755"/>
          </w:tcPr>
          <w:p>
            <w:pPr>
              <w:pStyle w:val="null3"/>
              <w:jc w:val="left"/>
            </w:pPr>
            <w:r>
              <w:rPr/>
              <w:t xml:space="preserve"> 服务名称</w:t>
            </w:r>
          </w:p>
        </w:tc>
        <w:tc>
          <w:tcPr>
            <w:tcW w:type="dxa" w:w="755"/>
          </w:tcPr>
          <w:p>
            <w:pPr>
              <w:pStyle w:val="null3"/>
              <w:jc w:val="left"/>
            </w:pPr>
            <w:r>
              <w:rPr/>
              <w:t xml:space="preserve"> 服务范围</w:t>
            </w:r>
          </w:p>
        </w:tc>
        <w:tc>
          <w:tcPr>
            <w:tcW w:type="dxa" w:w="755"/>
          </w:tcPr>
          <w:p>
            <w:pPr>
              <w:pStyle w:val="null3"/>
              <w:jc w:val="left"/>
            </w:pPr>
            <w:r>
              <w:rPr/>
              <w:t xml:space="preserve"> 服务要求</w:t>
            </w:r>
          </w:p>
        </w:tc>
        <w:tc>
          <w:tcPr>
            <w:tcW w:type="dxa" w:w="755"/>
          </w:tcPr>
          <w:p>
            <w:pPr>
              <w:pStyle w:val="null3"/>
              <w:jc w:val="left"/>
            </w:pPr>
            <w:r>
              <w:rPr/>
              <w:t xml:space="preserve"> 服务时间</w:t>
            </w:r>
          </w:p>
        </w:tc>
        <w:tc>
          <w:tcPr>
            <w:tcW w:type="dxa" w:w="755"/>
          </w:tcPr>
          <w:p>
            <w:pPr>
              <w:pStyle w:val="null3"/>
              <w:jc w:val="left"/>
            </w:pPr>
            <w:r>
              <w:rPr/>
              <w:t xml:space="preserve"> 服务标准</w:t>
            </w:r>
          </w:p>
        </w:tc>
        <w:tc>
          <w:tcPr>
            <w:tcW w:type="dxa" w:w="755"/>
          </w:tcPr>
          <w:p>
            <w:pPr>
              <w:pStyle w:val="null3"/>
              <w:jc w:val="left"/>
            </w:pPr>
            <w:r>
              <w:rPr/>
              <w:t xml:space="preserve"> 最高限价</w:t>
            </w:r>
          </w:p>
        </w:tc>
        <w:tc>
          <w:tcPr>
            <w:tcW w:type="dxa" w:w="755"/>
          </w:tcPr>
          <w:p>
            <w:pPr>
              <w:pStyle w:val="null3"/>
              <w:jc w:val="left"/>
            </w:pPr>
            <w:r>
              <w:rPr/>
              <w:t xml:space="preserve"> 单价</w:t>
            </w:r>
          </w:p>
        </w:tc>
        <w:tc>
          <w:tcPr>
            <w:tcW w:type="dxa" w:w="755"/>
          </w:tcPr>
          <w:p>
            <w:pPr>
              <w:pStyle w:val="null3"/>
              <w:jc w:val="left"/>
            </w:pPr>
            <w:r>
              <w:rPr/>
              <w:t xml:space="preserve"> 数量</w:t>
            </w:r>
          </w:p>
        </w:tc>
        <w:tc>
          <w:tcPr>
            <w:tcW w:type="dxa" w:w="755"/>
          </w:tcPr>
          <w:p>
            <w:pPr>
              <w:pStyle w:val="null3"/>
              <w:jc w:val="left"/>
            </w:pPr>
            <w:r>
              <w:rPr/>
              <w:t xml:space="preserve"> 计量单位</w:t>
            </w:r>
          </w:p>
        </w:tc>
        <w:tc>
          <w:tcPr>
            <w:tcW w:type="dxa" w:w="755"/>
          </w:tcPr>
          <w:p>
            <w:pPr>
              <w:pStyle w:val="null3"/>
              <w:jc w:val="left"/>
            </w:pPr>
            <w:r>
              <w:rPr/>
              <w:t xml:space="preserve"> 总价</w:t>
            </w:r>
          </w:p>
        </w:tc>
      </w:tr>
      <w:tr>
        <w:tc>
          <w:tcPr>
            <w:tcW w:type="dxa" w:w="755"/>
          </w:tcPr>
          <w:p>
            <w:pPr>
              <w:pStyle w:val="null3"/>
              <w:jc w:val="left"/>
            </w:pPr>
            <w:r>
              <w:rPr/>
              <w:t xml:space="preserve"> 1</w:t>
            </w:r>
          </w:p>
        </w:tc>
        <w:tc>
          <w:tcPr>
            <w:tcW w:type="dxa" w:w="755"/>
          </w:tcPr>
          <w:p>
            <w:pPr>
              <w:pStyle w:val="null3"/>
              <w:jc w:val="left"/>
            </w:pPr>
            <w:r>
              <w:rPr/>
              <w:t xml:space="preserve"> 2025年信息化安全运维服务</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40000.0000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1.0000</w:t>
            </w:r>
          </w:p>
        </w:tc>
        <w:tc>
          <w:tcPr>
            <w:tcW w:type="dxa" w:w="755"/>
          </w:tcPr>
          <w:p>
            <w:pPr>
              <w:pStyle w:val="null3"/>
              <w:jc w:val="left"/>
            </w:pPr>
            <w:r>
              <w:rPr/>
              <w:t xml:space="preserve"> 项</w:t>
            </w:r>
          </w:p>
        </w:tc>
        <w:tc>
          <w:tcPr>
            <w:tcW w:type="dxa" w:w="755"/>
          </w:tcPr>
          <w:p>
            <w:pPr>
              <w:pStyle w:val="null3"/>
              <w:jc w:val="left"/>
            </w:pPr>
            <w:r>
              <w:rPr/>
              <w:t xml:space="preserve"> {供应商响应} </w:t>
            </w:r>
            <w:r>
              <w:rPr/>
              <w:t xml:space="preserve"> 元</w:t>
            </w:r>
          </w:p>
        </w:tc>
      </w:tr>
      <w:tr>
        <w:tc>
          <w:tcPr>
            <w:tcW w:type="dxa" w:w="755"/>
          </w:tcPr>
          <w:p>
            <w:pPr>
              <w:pStyle w:val="null3"/>
              <w:jc w:val="left"/>
            </w:pPr>
            <w:r>
              <w:rPr/>
              <w:t xml:space="preserve"> 2</w:t>
            </w:r>
          </w:p>
        </w:tc>
        <w:tc>
          <w:tcPr>
            <w:tcW w:type="dxa" w:w="755"/>
          </w:tcPr>
          <w:p>
            <w:pPr>
              <w:pStyle w:val="null3"/>
              <w:jc w:val="left"/>
            </w:pPr>
            <w:r>
              <w:rPr/>
              <w:t xml:space="preserve"> 2025年信息化安全运维服务</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20000.0000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1.0000</w:t>
            </w:r>
          </w:p>
        </w:tc>
        <w:tc>
          <w:tcPr>
            <w:tcW w:type="dxa" w:w="755"/>
          </w:tcPr>
          <w:p>
            <w:pPr>
              <w:pStyle w:val="null3"/>
              <w:jc w:val="left"/>
            </w:pPr>
            <w:r>
              <w:rPr/>
              <w:t xml:space="preserve"> 项</w:t>
            </w:r>
          </w:p>
        </w:tc>
        <w:tc>
          <w:tcPr>
            <w:tcW w:type="dxa" w:w="755"/>
          </w:tcPr>
          <w:p>
            <w:pPr>
              <w:pStyle w:val="null3"/>
              <w:jc w:val="left"/>
            </w:pPr>
            <w:r>
              <w:rPr/>
              <w:t xml:space="preserve"> {供应商响应} </w:t>
            </w:r>
            <w:r>
              <w:rPr/>
              <w:t xml:space="preserve"> 元</w:t>
            </w:r>
          </w:p>
        </w:tc>
      </w:tr>
      <w:tr>
        <w:tc>
          <w:tcPr>
            <w:tcW w:type="dxa" w:w="755"/>
          </w:tcPr>
          <w:p>
            <w:pPr>
              <w:pStyle w:val="null3"/>
              <w:jc w:val="left"/>
            </w:pPr>
            <w:r>
              <w:rPr/>
              <w:t xml:space="preserve"> 3</w:t>
            </w:r>
          </w:p>
        </w:tc>
        <w:tc>
          <w:tcPr>
            <w:tcW w:type="dxa" w:w="755"/>
          </w:tcPr>
          <w:p>
            <w:pPr>
              <w:pStyle w:val="null3"/>
              <w:jc w:val="left"/>
            </w:pPr>
            <w:r>
              <w:rPr/>
              <w:t xml:space="preserve"> 2025年信息化安全运维服务</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16000.0000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4.0000</w:t>
            </w:r>
          </w:p>
        </w:tc>
        <w:tc>
          <w:tcPr>
            <w:tcW w:type="dxa" w:w="755"/>
          </w:tcPr>
          <w:p>
            <w:pPr>
              <w:pStyle w:val="null3"/>
              <w:jc w:val="left"/>
            </w:pPr>
            <w:r>
              <w:rPr/>
              <w:t xml:space="preserve"> 次</w:t>
            </w:r>
          </w:p>
        </w:tc>
        <w:tc>
          <w:tcPr>
            <w:tcW w:type="dxa" w:w="755"/>
          </w:tcPr>
          <w:p>
            <w:pPr>
              <w:pStyle w:val="null3"/>
              <w:jc w:val="left"/>
            </w:pPr>
            <w:r>
              <w:rPr/>
              <w:t xml:space="preserve"> {供应商响应} </w:t>
            </w:r>
            <w:r>
              <w:rPr/>
              <w:t xml:space="preserve"> 元</w:t>
            </w:r>
          </w:p>
        </w:tc>
      </w:tr>
      <w:tr>
        <w:tc>
          <w:tcPr>
            <w:tcW w:type="dxa" w:w="755"/>
          </w:tcPr>
          <w:p>
            <w:pPr>
              <w:pStyle w:val="null3"/>
              <w:jc w:val="left"/>
            </w:pPr>
            <w:r>
              <w:rPr/>
              <w:t xml:space="preserve"> 4</w:t>
            </w:r>
          </w:p>
        </w:tc>
        <w:tc>
          <w:tcPr>
            <w:tcW w:type="dxa" w:w="755"/>
          </w:tcPr>
          <w:p>
            <w:pPr>
              <w:pStyle w:val="null3"/>
              <w:jc w:val="left"/>
            </w:pPr>
            <w:r>
              <w:rPr/>
              <w:t xml:space="preserve"> 2025年信息化安全运维服务</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24000.0000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2.0000</w:t>
            </w:r>
          </w:p>
        </w:tc>
        <w:tc>
          <w:tcPr>
            <w:tcW w:type="dxa" w:w="755"/>
          </w:tcPr>
          <w:p>
            <w:pPr>
              <w:pStyle w:val="null3"/>
              <w:jc w:val="left"/>
            </w:pPr>
            <w:r>
              <w:rPr/>
              <w:t xml:space="preserve"> 次</w:t>
            </w:r>
          </w:p>
        </w:tc>
        <w:tc>
          <w:tcPr>
            <w:tcW w:type="dxa" w:w="755"/>
          </w:tcPr>
          <w:p>
            <w:pPr>
              <w:pStyle w:val="null3"/>
              <w:jc w:val="left"/>
            </w:pPr>
            <w:r>
              <w:rPr/>
              <w:t xml:space="preserve"> {供应商响应} </w:t>
            </w:r>
            <w:r>
              <w:rPr/>
              <w:t xml:space="preserve"> 元</w:t>
            </w:r>
          </w:p>
        </w:tc>
      </w:tr>
      <w:tr>
        <w:tc>
          <w:tcPr>
            <w:tcW w:type="dxa" w:w="755"/>
          </w:tcPr>
          <w:p>
            <w:pPr>
              <w:pStyle w:val="null3"/>
              <w:jc w:val="left"/>
            </w:pPr>
            <w:r>
              <w:rPr/>
              <w:t xml:space="preserve"> 5</w:t>
            </w:r>
          </w:p>
        </w:tc>
        <w:tc>
          <w:tcPr>
            <w:tcW w:type="dxa" w:w="755"/>
          </w:tcPr>
          <w:p>
            <w:pPr>
              <w:pStyle w:val="null3"/>
              <w:jc w:val="left"/>
            </w:pPr>
            <w:r>
              <w:rPr/>
              <w:t xml:space="preserve"> 2025年信息化安全运维服务</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15000.0000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1.0000</w:t>
            </w:r>
          </w:p>
        </w:tc>
        <w:tc>
          <w:tcPr>
            <w:tcW w:type="dxa" w:w="755"/>
          </w:tcPr>
          <w:p>
            <w:pPr>
              <w:pStyle w:val="null3"/>
              <w:jc w:val="left"/>
            </w:pPr>
            <w:r>
              <w:rPr/>
              <w:t xml:space="preserve"> 套</w:t>
            </w:r>
          </w:p>
        </w:tc>
        <w:tc>
          <w:tcPr>
            <w:tcW w:type="dxa" w:w="755"/>
          </w:tcPr>
          <w:p>
            <w:pPr>
              <w:pStyle w:val="null3"/>
              <w:jc w:val="left"/>
            </w:pPr>
            <w:r>
              <w:rPr/>
              <w:t xml:space="preserve"> {供应商响应} </w:t>
            </w:r>
            <w:r>
              <w:rPr/>
              <w:t xml:space="preserve"> 元</w:t>
            </w:r>
          </w:p>
        </w:tc>
      </w:tr>
      <w:tr>
        <w:tc>
          <w:tcPr>
            <w:tcW w:type="dxa" w:w="755"/>
          </w:tcPr>
          <w:p>
            <w:pPr>
              <w:pStyle w:val="null3"/>
              <w:jc w:val="left"/>
            </w:pPr>
            <w:r>
              <w:rPr/>
              <w:t xml:space="preserve"> 6</w:t>
            </w:r>
          </w:p>
        </w:tc>
        <w:tc>
          <w:tcPr>
            <w:tcW w:type="dxa" w:w="755"/>
          </w:tcPr>
          <w:p>
            <w:pPr>
              <w:pStyle w:val="null3"/>
              <w:jc w:val="left"/>
            </w:pPr>
            <w:r>
              <w:rPr/>
              <w:t xml:space="preserve"> 2025年信息化安全运维服务</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48000.0000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12.0000</w:t>
            </w:r>
          </w:p>
        </w:tc>
        <w:tc>
          <w:tcPr>
            <w:tcW w:type="dxa" w:w="755"/>
          </w:tcPr>
          <w:p>
            <w:pPr>
              <w:pStyle w:val="null3"/>
              <w:jc w:val="left"/>
            </w:pPr>
            <w:r>
              <w:rPr/>
              <w:t xml:space="preserve"> 次</w:t>
            </w:r>
          </w:p>
        </w:tc>
        <w:tc>
          <w:tcPr>
            <w:tcW w:type="dxa" w:w="755"/>
          </w:tcPr>
          <w:p>
            <w:pPr>
              <w:pStyle w:val="null3"/>
              <w:jc w:val="left"/>
            </w:pPr>
            <w:r>
              <w:rPr/>
              <w:t xml:space="preserve"> {供应商响应} </w:t>
            </w:r>
            <w:r>
              <w:rPr/>
              <w:t xml:space="preserve"> 元</w:t>
            </w:r>
          </w:p>
        </w:tc>
      </w:tr>
      <w:tr>
        <w:tc>
          <w:tcPr>
            <w:tcW w:type="dxa" w:w="755"/>
          </w:tcPr>
          <w:p>
            <w:pPr>
              <w:pStyle w:val="null3"/>
              <w:jc w:val="left"/>
            </w:pPr>
            <w:r>
              <w:rPr/>
              <w:t xml:space="preserve"> 7</w:t>
            </w:r>
          </w:p>
        </w:tc>
        <w:tc>
          <w:tcPr>
            <w:tcW w:type="dxa" w:w="755"/>
          </w:tcPr>
          <w:p>
            <w:pPr>
              <w:pStyle w:val="null3"/>
              <w:jc w:val="left"/>
            </w:pPr>
            <w:r>
              <w:rPr/>
              <w:t xml:space="preserve"> 2025年信息化安全运维服务</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20000.0000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4.0000</w:t>
            </w:r>
          </w:p>
        </w:tc>
        <w:tc>
          <w:tcPr>
            <w:tcW w:type="dxa" w:w="755"/>
          </w:tcPr>
          <w:p>
            <w:pPr>
              <w:pStyle w:val="null3"/>
              <w:jc w:val="left"/>
            </w:pPr>
            <w:r>
              <w:rPr/>
              <w:t xml:space="preserve"> 次</w:t>
            </w:r>
          </w:p>
        </w:tc>
        <w:tc>
          <w:tcPr>
            <w:tcW w:type="dxa" w:w="755"/>
          </w:tcPr>
          <w:p>
            <w:pPr>
              <w:pStyle w:val="null3"/>
              <w:jc w:val="left"/>
            </w:pPr>
            <w:r>
              <w:rPr/>
              <w:t xml:space="preserve"> {供应商响应} </w:t>
            </w:r>
            <w:r>
              <w:rPr/>
              <w:t xml:space="preserve"> 元</w:t>
            </w:r>
          </w:p>
        </w:tc>
      </w:tr>
      <w:tr>
        <w:tc>
          <w:tcPr>
            <w:tcW w:type="dxa" w:w="755"/>
          </w:tcPr>
          <w:p>
            <w:pPr>
              <w:pStyle w:val="null3"/>
              <w:jc w:val="left"/>
            </w:pPr>
            <w:r>
              <w:rPr/>
              <w:t xml:space="preserve"> 8</w:t>
            </w:r>
          </w:p>
        </w:tc>
        <w:tc>
          <w:tcPr>
            <w:tcW w:type="dxa" w:w="755"/>
          </w:tcPr>
          <w:p>
            <w:pPr>
              <w:pStyle w:val="null3"/>
              <w:jc w:val="left"/>
            </w:pPr>
            <w:r>
              <w:rPr/>
              <w:t xml:space="preserve"> 2025年信息化安全运维服务</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14000.0000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4.0000</w:t>
            </w:r>
          </w:p>
        </w:tc>
        <w:tc>
          <w:tcPr>
            <w:tcW w:type="dxa" w:w="755"/>
          </w:tcPr>
          <w:p>
            <w:pPr>
              <w:pStyle w:val="null3"/>
              <w:jc w:val="left"/>
            </w:pPr>
            <w:r>
              <w:rPr/>
              <w:t xml:space="preserve"> 次</w:t>
            </w:r>
          </w:p>
        </w:tc>
        <w:tc>
          <w:tcPr>
            <w:tcW w:type="dxa" w:w="755"/>
          </w:tcPr>
          <w:p>
            <w:pPr>
              <w:pStyle w:val="null3"/>
              <w:jc w:val="left"/>
            </w:pPr>
            <w:r>
              <w:rPr/>
              <w:t xml:space="preserve"> {供应商响应} </w:t>
            </w:r>
            <w:r>
              <w:rPr/>
              <w:t xml:space="preserve"> 元</w:t>
            </w:r>
          </w:p>
        </w:tc>
      </w:tr>
      <w:tr>
        <w:tc>
          <w:tcPr>
            <w:tcW w:type="dxa" w:w="755"/>
          </w:tcPr>
          <w:p>
            <w:pPr>
              <w:pStyle w:val="null3"/>
              <w:jc w:val="left"/>
            </w:pPr>
            <w:r>
              <w:rPr/>
              <w:t xml:space="preserve"> 9</w:t>
            </w:r>
          </w:p>
        </w:tc>
        <w:tc>
          <w:tcPr>
            <w:tcW w:type="dxa" w:w="755"/>
          </w:tcPr>
          <w:p>
            <w:pPr>
              <w:pStyle w:val="null3"/>
              <w:jc w:val="left"/>
            </w:pPr>
            <w:r>
              <w:rPr/>
              <w:t xml:space="preserve"> 2025年信息化安全运维服务</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16000.0000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4.0000</w:t>
            </w:r>
          </w:p>
        </w:tc>
        <w:tc>
          <w:tcPr>
            <w:tcW w:type="dxa" w:w="755"/>
          </w:tcPr>
          <w:p>
            <w:pPr>
              <w:pStyle w:val="null3"/>
              <w:jc w:val="left"/>
            </w:pPr>
            <w:r>
              <w:rPr/>
              <w:t xml:space="preserve"> 次</w:t>
            </w:r>
          </w:p>
        </w:tc>
        <w:tc>
          <w:tcPr>
            <w:tcW w:type="dxa" w:w="755"/>
          </w:tcPr>
          <w:p>
            <w:pPr>
              <w:pStyle w:val="null3"/>
              <w:jc w:val="left"/>
            </w:pPr>
            <w:r>
              <w:rPr/>
              <w:t xml:space="preserve"> {供应商响应} </w:t>
            </w:r>
            <w:r>
              <w:rPr/>
              <w:t xml:space="preserve"> 元</w:t>
            </w:r>
          </w:p>
        </w:tc>
      </w:tr>
      <w:tr>
        <w:tc>
          <w:tcPr>
            <w:tcW w:type="dxa" w:w="755"/>
          </w:tcPr>
          <w:p>
            <w:pPr>
              <w:pStyle w:val="null3"/>
              <w:jc w:val="left"/>
            </w:pPr>
            <w:r>
              <w:rPr/>
              <w:t xml:space="preserve"> 10</w:t>
            </w:r>
          </w:p>
        </w:tc>
        <w:tc>
          <w:tcPr>
            <w:tcW w:type="dxa" w:w="755"/>
          </w:tcPr>
          <w:p>
            <w:pPr>
              <w:pStyle w:val="null3"/>
              <w:jc w:val="left"/>
            </w:pPr>
            <w:r>
              <w:rPr/>
              <w:t xml:space="preserve"> 2025年信息化安全运维服务</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12000.0000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2.0000</w:t>
            </w:r>
          </w:p>
        </w:tc>
        <w:tc>
          <w:tcPr>
            <w:tcW w:type="dxa" w:w="755"/>
          </w:tcPr>
          <w:p>
            <w:pPr>
              <w:pStyle w:val="null3"/>
              <w:jc w:val="left"/>
            </w:pPr>
            <w:r>
              <w:rPr/>
              <w:t xml:space="preserve"> 次</w:t>
            </w:r>
          </w:p>
        </w:tc>
        <w:tc>
          <w:tcPr>
            <w:tcW w:type="dxa" w:w="755"/>
          </w:tcPr>
          <w:p>
            <w:pPr>
              <w:pStyle w:val="null3"/>
              <w:jc w:val="left"/>
            </w:pPr>
            <w:r>
              <w:rPr/>
              <w:t xml:space="preserve"> {供应商响应} </w:t>
            </w:r>
            <w:r>
              <w:rPr/>
              <w:t xml:space="preserve"> 元</w:t>
            </w:r>
          </w:p>
        </w:tc>
      </w:tr>
      <w:tr>
        <w:tc>
          <w:tcPr>
            <w:tcW w:type="dxa" w:w="755"/>
          </w:tcPr>
          <w:p>
            <w:pPr>
              <w:pStyle w:val="null3"/>
              <w:jc w:val="left"/>
            </w:pPr>
            <w:r>
              <w:rPr/>
              <w:t xml:space="preserve"> 11</w:t>
            </w:r>
          </w:p>
        </w:tc>
        <w:tc>
          <w:tcPr>
            <w:tcW w:type="dxa" w:w="755"/>
          </w:tcPr>
          <w:p>
            <w:pPr>
              <w:pStyle w:val="null3"/>
              <w:jc w:val="left"/>
            </w:pPr>
            <w:r>
              <w:rPr/>
              <w:t xml:space="preserve"> 2025年信息化安全运维服务</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44000.0000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4.0000</w:t>
            </w:r>
          </w:p>
        </w:tc>
        <w:tc>
          <w:tcPr>
            <w:tcW w:type="dxa" w:w="755"/>
          </w:tcPr>
          <w:p>
            <w:pPr>
              <w:pStyle w:val="null3"/>
              <w:jc w:val="left"/>
            </w:pPr>
            <w:r>
              <w:rPr/>
              <w:t xml:space="preserve"> 次</w:t>
            </w:r>
          </w:p>
        </w:tc>
        <w:tc>
          <w:tcPr>
            <w:tcW w:type="dxa" w:w="755"/>
          </w:tcPr>
          <w:p>
            <w:pPr>
              <w:pStyle w:val="null3"/>
              <w:jc w:val="left"/>
            </w:pPr>
            <w:r>
              <w:rPr/>
              <w:t xml:space="preserve"> {供应商响应} </w:t>
            </w:r>
            <w:r>
              <w:rPr/>
              <w:t xml:space="preserve"> 元</w:t>
            </w:r>
          </w:p>
        </w:tc>
      </w:tr>
      <w:tr>
        <w:tc>
          <w:tcPr>
            <w:tcW w:type="dxa" w:w="755"/>
          </w:tcPr>
          <w:p>
            <w:pPr>
              <w:pStyle w:val="null3"/>
              <w:jc w:val="left"/>
            </w:pPr>
            <w:r>
              <w:rPr/>
              <w:t xml:space="preserve"> 12</w:t>
            </w:r>
          </w:p>
        </w:tc>
        <w:tc>
          <w:tcPr>
            <w:tcW w:type="dxa" w:w="755"/>
          </w:tcPr>
          <w:p>
            <w:pPr>
              <w:pStyle w:val="null3"/>
              <w:jc w:val="left"/>
            </w:pPr>
            <w:r>
              <w:rPr/>
              <w:t xml:space="preserve"> 2025年信息化安全运维服务</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32000.0000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4.0000</w:t>
            </w:r>
          </w:p>
        </w:tc>
        <w:tc>
          <w:tcPr>
            <w:tcW w:type="dxa" w:w="755"/>
          </w:tcPr>
          <w:p>
            <w:pPr>
              <w:pStyle w:val="null3"/>
              <w:jc w:val="left"/>
            </w:pPr>
            <w:r>
              <w:rPr/>
              <w:t xml:space="preserve"> 次</w:t>
            </w:r>
          </w:p>
        </w:tc>
        <w:tc>
          <w:tcPr>
            <w:tcW w:type="dxa" w:w="755"/>
          </w:tcPr>
          <w:p>
            <w:pPr>
              <w:pStyle w:val="null3"/>
              <w:jc w:val="left"/>
            </w:pPr>
            <w:r>
              <w:rPr/>
              <w:t xml:space="preserve"> {供应商响应} </w:t>
            </w:r>
            <w:r>
              <w:rPr/>
              <w:t xml:space="preserve"> 元</w:t>
            </w:r>
          </w:p>
        </w:tc>
      </w:tr>
      <w:tr>
        <w:tc>
          <w:tcPr>
            <w:tcW w:type="dxa" w:w="755"/>
          </w:tcPr>
          <w:p>
            <w:pPr>
              <w:pStyle w:val="null3"/>
              <w:jc w:val="left"/>
            </w:pPr>
            <w:r>
              <w:rPr/>
              <w:t xml:space="preserve"> 13</w:t>
            </w:r>
          </w:p>
        </w:tc>
        <w:tc>
          <w:tcPr>
            <w:tcW w:type="dxa" w:w="755"/>
          </w:tcPr>
          <w:p>
            <w:pPr>
              <w:pStyle w:val="null3"/>
              <w:jc w:val="left"/>
            </w:pPr>
            <w:r>
              <w:rPr/>
              <w:t xml:space="preserve"> 2025年信息化安全运维服务</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15000.0000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1.0000</w:t>
            </w:r>
          </w:p>
        </w:tc>
        <w:tc>
          <w:tcPr>
            <w:tcW w:type="dxa" w:w="755"/>
          </w:tcPr>
          <w:p>
            <w:pPr>
              <w:pStyle w:val="null3"/>
              <w:jc w:val="left"/>
            </w:pPr>
            <w:r>
              <w:rPr/>
              <w:t xml:space="preserve"> 次</w:t>
            </w:r>
          </w:p>
        </w:tc>
        <w:tc>
          <w:tcPr>
            <w:tcW w:type="dxa" w:w="755"/>
          </w:tcPr>
          <w:p>
            <w:pPr>
              <w:pStyle w:val="null3"/>
              <w:jc w:val="left"/>
            </w:pPr>
            <w:r>
              <w:rPr/>
              <w:t xml:space="preserve"> {供应商响应} </w:t>
            </w:r>
            <w:r>
              <w:rPr/>
              <w:t xml:space="preserve"> 元</w:t>
            </w:r>
          </w:p>
        </w:tc>
      </w:tr>
      <w:tr>
        <w:tc>
          <w:tcPr>
            <w:tcW w:type="dxa" w:w="755"/>
          </w:tcPr>
          <w:p>
            <w:pPr>
              <w:pStyle w:val="null3"/>
              <w:jc w:val="left"/>
            </w:pPr>
            <w:r>
              <w:rPr/>
              <w:t xml:space="preserve"> 14</w:t>
            </w:r>
          </w:p>
        </w:tc>
        <w:tc>
          <w:tcPr>
            <w:tcW w:type="dxa" w:w="755"/>
          </w:tcPr>
          <w:p>
            <w:pPr>
              <w:pStyle w:val="null3"/>
              <w:jc w:val="left"/>
            </w:pPr>
            <w:r>
              <w:rPr/>
              <w:t xml:space="preserve"> 2025年信息化安全运维服务</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4000.0000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1.0000</w:t>
            </w:r>
          </w:p>
        </w:tc>
        <w:tc>
          <w:tcPr>
            <w:tcW w:type="dxa" w:w="755"/>
          </w:tcPr>
          <w:p>
            <w:pPr>
              <w:pStyle w:val="null3"/>
              <w:jc w:val="left"/>
            </w:pPr>
            <w:r>
              <w:rPr/>
              <w:t xml:space="preserve"> 套</w:t>
            </w:r>
          </w:p>
        </w:tc>
        <w:tc>
          <w:tcPr>
            <w:tcW w:type="dxa" w:w="755"/>
          </w:tcPr>
          <w:p>
            <w:pPr>
              <w:pStyle w:val="null3"/>
              <w:jc w:val="left"/>
            </w:pPr>
            <w:r>
              <w:rPr/>
              <w:t xml:space="preserve"> {供应商响应} </w:t>
            </w:r>
            <w:r>
              <w:rPr/>
              <w:t xml:space="preserve"> 元</w:t>
            </w:r>
          </w:p>
        </w:tc>
      </w:tr>
      <w:tr>
        <w:tc>
          <w:tcPr>
            <w:tcW w:type="dxa" w:w="755"/>
          </w:tcPr>
          <w:p>
            <w:pPr>
              <w:pStyle w:val="null3"/>
              <w:jc w:val="left"/>
            </w:pPr>
            <w:r>
              <w:rPr/>
              <w:t xml:space="preserve"> 15</w:t>
            </w:r>
          </w:p>
        </w:tc>
        <w:tc>
          <w:tcPr>
            <w:tcW w:type="dxa" w:w="755"/>
          </w:tcPr>
          <w:p>
            <w:pPr>
              <w:pStyle w:val="null3"/>
              <w:jc w:val="left"/>
            </w:pPr>
            <w:r>
              <w:rPr/>
              <w:t xml:space="preserve"> 2025年信息化安全运维服务</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4000.0000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1.0000</w:t>
            </w:r>
          </w:p>
        </w:tc>
        <w:tc>
          <w:tcPr>
            <w:tcW w:type="dxa" w:w="755"/>
          </w:tcPr>
          <w:p>
            <w:pPr>
              <w:pStyle w:val="null3"/>
              <w:jc w:val="left"/>
            </w:pPr>
            <w:r>
              <w:rPr/>
              <w:t xml:space="preserve"> 次</w:t>
            </w:r>
          </w:p>
        </w:tc>
        <w:tc>
          <w:tcPr>
            <w:tcW w:type="dxa" w:w="755"/>
          </w:tcPr>
          <w:p>
            <w:pPr>
              <w:pStyle w:val="null3"/>
              <w:jc w:val="left"/>
            </w:pPr>
            <w:r>
              <w:rPr/>
              <w:t xml:space="preserve"> {供应商响应} </w:t>
            </w:r>
            <w:r>
              <w:rPr/>
              <w:t xml:space="preserve"> 元</w:t>
            </w:r>
          </w:p>
        </w:tc>
      </w:tr>
      <w:tr>
        <w:tc>
          <w:tcPr>
            <w:tcW w:type="dxa" w:w="755"/>
          </w:tcPr>
          <w:p>
            <w:pPr>
              <w:pStyle w:val="null3"/>
              <w:jc w:val="left"/>
            </w:pPr>
            <w:r>
              <w:rPr/>
              <w:t xml:space="preserve"> 16</w:t>
            </w:r>
          </w:p>
        </w:tc>
        <w:tc>
          <w:tcPr>
            <w:tcW w:type="dxa" w:w="755"/>
          </w:tcPr>
          <w:p>
            <w:pPr>
              <w:pStyle w:val="null3"/>
              <w:jc w:val="left"/>
            </w:pPr>
            <w:r>
              <w:rPr/>
              <w:t xml:space="preserve"> 2025年信息化安全运维服务</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18000.0000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1.0000</w:t>
            </w:r>
          </w:p>
        </w:tc>
        <w:tc>
          <w:tcPr>
            <w:tcW w:type="dxa" w:w="755"/>
          </w:tcPr>
          <w:p>
            <w:pPr>
              <w:pStyle w:val="null3"/>
              <w:jc w:val="left"/>
            </w:pPr>
            <w:r>
              <w:rPr/>
              <w:t xml:space="preserve"> 次</w:t>
            </w:r>
          </w:p>
        </w:tc>
        <w:tc>
          <w:tcPr>
            <w:tcW w:type="dxa" w:w="755"/>
          </w:tcPr>
          <w:p>
            <w:pPr>
              <w:pStyle w:val="null3"/>
              <w:jc w:val="left"/>
            </w:pPr>
            <w:r>
              <w:rPr/>
              <w:t xml:space="preserve"> {供应商响应} </w:t>
            </w:r>
            <w:r>
              <w:rPr/>
              <w:t xml:space="preserve"> 元</w:t>
            </w:r>
          </w:p>
        </w:tc>
      </w:tr>
      <w:tr>
        <w:tc>
          <w:tcPr>
            <w:tcW w:type="dxa" w:w="755"/>
          </w:tcPr>
          <w:p>
            <w:pPr>
              <w:pStyle w:val="null3"/>
              <w:jc w:val="left"/>
            </w:pPr>
            <w:r>
              <w:rPr/>
              <w:t xml:space="preserve"> 17</w:t>
            </w:r>
          </w:p>
        </w:tc>
        <w:tc>
          <w:tcPr>
            <w:tcW w:type="dxa" w:w="755"/>
          </w:tcPr>
          <w:p>
            <w:pPr>
              <w:pStyle w:val="null3"/>
              <w:jc w:val="left"/>
            </w:pPr>
            <w:r>
              <w:rPr/>
              <w:t xml:space="preserve"> 2025年信息化安全运维服务</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5000.0000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1.0000</w:t>
            </w:r>
          </w:p>
        </w:tc>
        <w:tc>
          <w:tcPr>
            <w:tcW w:type="dxa" w:w="755"/>
          </w:tcPr>
          <w:p>
            <w:pPr>
              <w:pStyle w:val="null3"/>
              <w:jc w:val="left"/>
            </w:pPr>
            <w:r>
              <w:rPr/>
              <w:t xml:space="preserve"> 项</w:t>
            </w:r>
          </w:p>
        </w:tc>
        <w:tc>
          <w:tcPr>
            <w:tcW w:type="dxa" w:w="755"/>
          </w:tcPr>
          <w:p>
            <w:pPr>
              <w:pStyle w:val="null3"/>
              <w:jc w:val="left"/>
            </w:pPr>
            <w:r>
              <w:rPr/>
              <w:t xml:space="preserve"> {供应商响应} </w:t>
            </w:r>
            <w:r>
              <w:rPr/>
              <w:t xml:space="preserve"> 元</w:t>
            </w:r>
          </w:p>
        </w:tc>
      </w:tr>
      <w:tr>
        <w:tc>
          <w:tcPr>
            <w:tcW w:type="dxa" w:w="755"/>
          </w:tcPr>
          <w:p>
            <w:pPr>
              <w:pStyle w:val="null3"/>
              <w:jc w:val="left"/>
            </w:pPr>
            <w:r>
              <w:rPr/>
              <w:t xml:space="preserve"> 18</w:t>
            </w:r>
          </w:p>
        </w:tc>
        <w:tc>
          <w:tcPr>
            <w:tcW w:type="dxa" w:w="755"/>
          </w:tcPr>
          <w:p>
            <w:pPr>
              <w:pStyle w:val="null3"/>
              <w:jc w:val="left"/>
            </w:pPr>
            <w:r>
              <w:rPr/>
              <w:t xml:space="preserve"> 2025年信息化安全运维服务</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5000.0000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1.0000</w:t>
            </w:r>
          </w:p>
        </w:tc>
        <w:tc>
          <w:tcPr>
            <w:tcW w:type="dxa" w:w="755"/>
          </w:tcPr>
          <w:p>
            <w:pPr>
              <w:pStyle w:val="null3"/>
              <w:jc w:val="left"/>
            </w:pPr>
            <w:r>
              <w:rPr/>
              <w:t xml:space="preserve"> 项</w:t>
            </w:r>
          </w:p>
        </w:tc>
        <w:tc>
          <w:tcPr>
            <w:tcW w:type="dxa" w:w="755"/>
          </w:tcPr>
          <w:p>
            <w:pPr>
              <w:pStyle w:val="null3"/>
              <w:jc w:val="left"/>
            </w:pPr>
            <w:r>
              <w:rPr/>
              <w:t xml:space="preserve"> {供应商响应} </w:t>
            </w:r>
            <w:r>
              <w:rPr/>
              <w:t xml:space="preserve"> 元</w:t>
            </w:r>
          </w:p>
        </w:tc>
      </w:tr>
      <w:tr>
        <w:tc>
          <w:tcPr>
            <w:tcW w:type="dxa" w:w="755"/>
          </w:tcPr>
          <w:p>
            <w:pPr>
              <w:pStyle w:val="null3"/>
              <w:jc w:val="left"/>
            </w:pPr>
            <w:r>
              <w:rPr/>
              <w:t xml:space="preserve"> 19</w:t>
            </w:r>
          </w:p>
        </w:tc>
        <w:tc>
          <w:tcPr>
            <w:tcW w:type="dxa" w:w="755"/>
          </w:tcPr>
          <w:p>
            <w:pPr>
              <w:pStyle w:val="null3"/>
              <w:jc w:val="left"/>
            </w:pPr>
            <w:r>
              <w:rPr/>
              <w:t xml:space="preserve"> 2025年信息化安全运维服务</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5000.0000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1.0000</w:t>
            </w:r>
          </w:p>
        </w:tc>
        <w:tc>
          <w:tcPr>
            <w:tcW w:type="dxa" w:w="755"/>
          </w:tcPr>
          <w:p>
            <w:pPr>
              <w:pStyle w:val="null3"/>
              <w:jc w:val="left"/>
            </w:pPr>
            <w:r>
              <w:rPr/>
              <w:t xml:space="preserve"> 项</w:t>
            </w:r>
          </w:p>
        </w:tc>
        <w:tc>
          <w:tcPr>
            <w:tcW w:type="dxa" w:w="755"/>
          </w:tcPr>
          <w:p>
            <w:pPr>
              <w:pStyle w:val="null3"/>
              <w:jc w:val="left"/>
            </w:pPr>
            <w:r>
              <w:rPr/>
              <w:t xml:space="preserve"> {供应商响应} </w:t>
            </w:r>
            <w:r>
              <w:rPr/>
              <w:t xml:space="preserve"> 元</w:t>
            </w:r>
          </w:p>
        </w:tc>
      </w:tr>
      <w:tr>
        <w:tc>
          <w:tcPr>
            <w:tcW w:type="dxa" w:w="755"/>
          </w:tcPr>
          <w:p>
            <w:pPr>
              <w:pStyle w:val="null3"/>
              <w:jc w:val="left"/>
            </w:pPr>
            <w:r>
              <w:rPr/>
              <w:t xml:space="preserve"> 20</w:t>
            </w:r>
          </w:p>
        </w:tc>
        <w:tc>
          <w:tcPr>
            <w:tcW w:type="dxa" w:w="755"/>
          </w:tcPr>
          <w:p>
            <w:pPr>
              <w:pStyle w:val="null3"/>
              <w:jc w:val="left"/>
            </w:pPr>
            <w:r>
              <w:rPr/>
              <w:t xml:space="preserve"> 2025年信息化安全运维服务</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5000.0000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1.0000</w:t>
            </w:r>
          </w:p>
        </w:tc>
        <w:tc>
          <w:tcPr>
            <w:tcW w:type="dxa" w:w="755"/>
          </w:tcPr>
          <w:p>
            <w:pPr>
              <w:pStyle w:val="null3"/>
              <w:jc w:val="left"/>
            </w:pPr>
            <w:r>
              <w:rPr/>
              <w:t xml:space="preserve"> 项</w:t>
            </w:r>
          </w:p>
        </w:tc>
        <w:tc>
          <w:tcPr>
            <w:tcW w:type="dxa" w:w="755"/>
          </w:tcPr>
          <w:p>
            <w:pPr>
              <w:pStyle w:val="null3"/>
              <w:jc w:val="left"/>
            </w:pPr>
            <w:r>
              <w:rPr/>
              <w:t xml:space="preserve"> {供应商响应} </w:t>
            </w:r>
            <w:r>
              <w:rPr/>
              <w:t xml:space="preserve"> 元</w:t>
            </w:r>
          </w:p>
        </w:tc>
      </w:tr>
      <w:tr>
        <w:tc>
          <w:tcPr>
            <w:tcW w:type="dxa" w:w="755"/>
          </w:tcPr>
          <w:p>
            <w:pPr>
              <w:pStyle w:val="null3"/>
              <w:jc w:val="left"/>
            </w:pPr>
            <w:r>
              <w:rPr/>
              <w:t xml:space="preserve"> 21</w:t>
            </w:r>
          </w:p>
        </w:tc>
        <w:tc>
          <w:tcPr>
            <w:tcW w:type="dxa" w:w="755"/>
          </w:tcPr>
          <w:p>
            <w:pPr>
              <w:pStyle w:val="null3"/>
              <w:jc w:val="left"/>
            </w:pPr>
            <w:r>
              <w:rPr/>
              <w:t xml:space="preserve"> 2025年信息化安全运维服务</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10000.0000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1.0000</w:t>
            </w:r>
          </w:p>
        </w:tc>
        <w:tc>
          <w:tcPr>
            <w:tcW w:type="dxa" w:w="755"/>
          </w:tcPr>
          <w:p>
            <w:pPr>
              <w:pStyle w:val="null3"/>
              <w:jc w:val="left"/>
            </w:pPr>
            <w:r>
              <w:rPr/>
              <w:t xml:space="preserve"> 项</w:t>
            </w:r>
          </w:p>
        </w:tc>
        <w:tc>
          <w:tcPr>
            <w:tcW w:type="dxa" w:w="755"/>
          </w:tcPr>
          <w:p>
            <w:pPr>
              <w:pStyle w:val="null3"/>
              <w:jc w:val="left"/>
            </w:pPr>
            <w:r>
              <w:rPr/>
              <w:t xml:space="preserve"> {供应商响应} </w:t>
            </w:r>
            <w:r>
              <w:rPr/>
              <w:t xml:space="preserve"> 元</w:t>
            </w:r>
          </w:p>
        </w:tc>
      </w:tr>
      <w:tr>
        <w:tc>
          <w:tcPr>
            <w:tcW w:type="dxa" w:w="755"/>
          </w:tcPr>
          <w:p>
            <w:pPr>
              <w:pStyle w:val="null3"/>
              <w:jc w:val="left"/>
            </w:pPr>
            <w:r>
              <w:rPr/>
              <w:t xml:space="preserve"> 22</w:t>
            </w:r>
          </w:p>
        </w:tc>
        <w:tc>
          <w:tcPr>
            <w:tcW w:type="dxa" w:w="755"/>
          </w:tcPr>
          <w:p>
            <w:pPr>
              <w:pStyle w:val="null3"/>
              <w:jc w:val="left"/>
            </w:pPr>
            <w:r>
              <w:rPr/>
              <w:t xml:space="preserve"> 2025年信息化安全运维服务</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43000.0000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1.0000</w:t>
            </w:r>
          </w:p>
        </w:tc>
        <w:tc>
          <w:tcPr>
            <w:tcW w:type="dxa" w:w="755"/>
          </w:tcPr>
          <w:p>
            <w:pPr>
              <w:pStyle w:val="null3"/>
              <w:jc w:val="left"/>
            </w:pPr>
            <w:r>
              <w:rPr/>
              <w:t xml:space="preserve"> 次</w:t>
            </w:r>
          </w:p>
        </w:tc>
        <w:tc>
          <w:tcPr>
            <w:tcW w:type="dxa" w:w="755"/>
          </w:tcPr>
          <w:p>
            <w:pPr>
              <w:pStyle w:val="null3"/>
              <w:jc w:val="left"/>
            </w:pPr>
            <w:r>
              <w:rPr/>
              <w:t xml:space="preserve"> {供应商响应} </w:t>
            </w:r>
            <w:r>
              <w:rPr/>
              <w:t xml:space="preserve"> 元</w:t>
            </w:r>
          </w:p>
        </w:tc>
      </w:tr>
      <w:tr>
        <w:tc>
          <w:tcPr>
            <w:tcW w:type="dxa" w:w="755"/>
          </w:tcPr>
          <w:p>
            <w:pPr>
              <w:pStyle w:val="null3"/>
              <w:jc w:val="left"/>
            </w:pPr>
            <w:r>
              <w:rPr/>
              <w:t xml:space="preserve"> 23</w:t>
            </w:r>
          </w:p>
        </w:tc>
        <w:tc>
          <w:tcPr>
            <w:tcW w:type="dxa" w:w="755"/>
          </w:tcPr>
          <w:p>
            <w:pPr>
              <w:pStyle w:val="null3"/>
              <w:jc w:val="left"/>
            </w:pPr>
            <w:r>
              <w:rPr/>
              <w:t xml:space="preserve"> 2025年信息化安全运维服务</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5000.0000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1.0000</w:t>
            </w:r>
          </w:p>
        </w:tc>
        <w:tc>
          <w:tcPr>
            <w:tcW w:type="dxa" w:w="755"/>
          </w:tcPr>
          <w:p>
            <w:pPr>
              <w:pStyle w:val="null3"/>
              <w:jc w:val="left"/>
            </w:pPr>
            <w:r>
              <w:rPr/>
              <w:t xml:space="preserve"> 套</w:t>
            </w:r>
          </w:p>
        </w:tc>
        <w:tc>
          <w:tcPr>
            <w:tcW w:type="dxa" w:w="755"/>
          </w:tcPr>
          <w:p>
            <w:pPr>
              <w:pStyle w:val="null3"/>
              <w:jc w:val="left"/>
            </w:pPr>
            <w:r>
              <w:rPr/>
              <w:t xml:space="preserve"> {供应商响应} </w:t>
            </w:r>
            <w:r>
              <w:rPr/>
              <w:t xml:space="preserve"> 元</w:t>
            </w:r>
          </w:p>
        </w:tc>
      </w:tr>
      <w:tr>
        <w:tc>
          <w:tcPr>
            <w:tcW w:type="dxa" w:w="755"/>
          </w:tcPr>
          <w:p>
            <w:pPr>
              <w:pStyle w:val="null3"/>
              <w:jc w:val="left"/>
            </w:pPr>
            <w:r>
              <w:rPr/>
              <w:t xml:space="preserve"> 24</w:t>
            </w:r>
          </w:p>
        </w:tc>
        <w:tc>
          <w:tcPr>
            <w:tcW w:type="dxa" w:w="755"/>
          </w:tcPr>
          <w:p>
            <w:pPr>
              <w:pStyle w:val="null3"/>
              <w:jc w:val="left"/>
            </w:pPr>
            <w:r>
              <w:rPr/>
              <w:t xml:space="preserve"> 2025年信息化安全运维服务</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10000.0000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1.0000</w:t>
            </w:r>
          </w:p>
        </w:tc>
        <w:tc>
          <w:tcPr>
            <w:tcW w:type="dxa" w:w="755"/>
          </w:tcPr>
          <w:p>
            <w:pPr>
              <w:pStyle w:val="null3"/>
              <w:jc w:val="left"/>
            </w:pPr>
            <w:r>
              <w:rPr/>
              <w:t xml:space="preserve"> 项</w:t>
            </w:r>
          </w:p>
        </w:tc>
        <w:tc>
          <w:tcPr>
            <w:tcW w:type="dxa" w:w="755"/>
          </w:tcPr>
          <w:p>
            <w:pPr>
              <w:pStyle w:val="null3"/>
              <w:jc w:val="left"/>
            </w:pPr>
            <w:r>
              <w:rPr/>
              <w:t xml:space="preserve"> {供应商响应} </w:t>
            </w:r>
            <w:r>
              <w:rPr/>
              <w:t xml:space="preserve"> 元</w:t>
            </w:r>
          </w:p>
        </w:tc>
      </w:tr>
      <w:tr>
        <w:tc>
          <w:tcPr>
            <w:tcW w:type="dxa" w:w="755"/>
          </w:tcPr>
          <w:p>
            <w:pPr>
              <w:pStyle w:val="null3"/>
              <w:jc w:val="left"/>
            </w:pPr>
            <w:r>
              <w:rPr/>
              <w:t xml:space="preserve"> 25</w:t>
            </w:r>
          </w:p>
        </w:tc>
        <w:tc>
          <w:tcPr>
            <w:tcW w:type="dxa" w:w="755"/>
          </w:tcPr>
          <w:p>
            <w:pPr>
              <w:pStyle w:val="null3"/>
              <w:jc w:val="left"/>
            </w:pPr>
            <w:r>
              <w:rPr/>
              <w:t xml:space="preserve"> 2025年信息化安全运维服务</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30000.0000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1.0000</w:t>
            </w:r>
          </w:p>
        </w:tc>
        <w:tc>
          <w:tcPr>
            <w:tcW w:type="dxa" w:w="755"/>
          </w:tcPr>
          <w:p>
            <w:pPr>
              <w:pStyle w:val="null3"/>
              <w:jc w:val="left"/>
            </w:pPr>
            <w:r>
              <w:rPr/>
              <w:t xml:space="preserve"> 项</w:t>
            </w:r>
          </w:p>
        </w:tc>
        <w:tc>
          <w:tcPr>
            <w:tcW w:type="dxa" w:w="755"/>
          </w:tcPr>
          <w:p>
            <w:pPr>
              <w:pStyle w:val="null3"/>
              <w:jc w:val="left"/>
            </w:pPr>
            <w:r>
              <w:rPr/>
              <w:t xml:space="preserve"> {供应商响应} </w:t>
            </w:r>
            <w:r>
              <w:rPr/>
              <w:t xml:space="preserve"> 元</w:t>
            </w:r>
          </w:p>
        </w:tc>
      </w:tr>
      <w:tr>
        <w:tc>
          <w:tcPr>
            <w:tcW w:type="dxa" w:w="755"/>
          </w:tcPr>
          <w:p>
            <w:pPr>
              <w:pStyle w:val="null3"/>
              <w:jc w:val="left"/>
            </w:pPr>
            <w:r>
              <w:rPr/>
              <w:t xml:space="preserve"> 26</w:t>
            </w:r>
          </w:p>
        </w:tc>
        <w:tc>
          <w:tcPr>
            <w:tcW w:type="dxa" w:w="755"/>
          </w:tcPr>
          <w:p>
            <w:pPr>
              <w:pStyle w:val="null3"/>
              <w:jc w:val="left"/>
            </w:pPr>
            <w:r>
              <w:rPr/>
              <w:t xml:space="preserve"> 2025年信息化安全运维服务</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40000.0000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1.0000</w:t>
            </w:r>
          </w:p>
        </w:tc>
        <w:tc>
          <w:tcPr>
            <w:tcW w:type="dxa" w:w="755"/>
          </w:tcPr>
          <w:p>
            <w:pPr>
              <w:pStyle w:val="null3"/>
              <w:jc w:val="left"/>
            </w:pPr>
            <w:r>
              <w:rPr/>
              <w:t xml:space="preserve"> 项</w:t>
            </w:r>
          </w:p>
        </w:tc>
        <w:tc>
          <w:tcPr>
            <w:tcW w:type="dxa" w:w="755"/>
          </w:tcPr>
          <w:p>
            <w:pPr>
              <w:pStyle w:val="null3"/>
              <w:jc w:val="left"/>
            </w:pPr>
            <w:r>
              <w:rPr/>
              <w:t xml:space="preserve"> {供应商响应} </w:t>
            </w:r>
            <w:r>
              <w:rPr/>
              <w:t xml:space="preserve"> 元</w:t>
            </w:r>
          </w:p>
        </w:tc>
      </w:tr>
    </w:tbl>
    <w:p>
      <w:pPr>
        <w:pStyle w:val="null3"/>
        <w:jc w:val="left"/>
      </w:pPr>
      <w:r>
        <w:rPr/>
        <w:t>合计</w:t>
      </w:r>
      <w:r>
        <w:rPr/>
        <w:t>：</w:t>
      </w:r>
    </w:p>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pPr>
      <w:r>
        <w:rPr/>
        <w:t xml:space="preserve"> </w:t>
        <w:br/>
        <w:br w:type="page"/>
      </w:r>
    </w:p>
    <w:p>
      <w:pPr>
        <w:pStyle w:val="null3"/>
        <w:jc w:val="center"/>
        <w:outlineLvl w:val="2"/>
      </w:pPr>
      <w:r>
        <w:rPr>
          <w:sz w:val="28"/>
          <w:b/>
        </w:rPr>
        <w:t>三、招标文件规定的价格扣除证明材料（若有）</w:t>
      </w:r>
    </w:p>
    <w:p>
      <w:pPr>
        <w:pStyle w:val="null3"/>
        <w:jc w:val="center"/>
        <w:outlineLvl w:val="3"/>
      </w:pPr>
      <w:r>
        <w:rPr>
          <w:sz w:val="24"/>
          <w:b/>
        </w:rPr>
        <w:t>三-1优先类节能产品、环境标志产品价格扣除证明材料（若有）</w:t>
      </w:r>
    </w:p>
    <w:p>
      <w:pPr>
        <w:pStyle w:val="null3"/>
        <w:jc w:val="center"/>
        <w:outlineLvl w:val="3"/>
      </w:pPr>
      <w:r>
        <w:rPr>
          <w:sz w:val="24"/>
          <w:b/>
        </w:rPr>
        <w:t>三-1-①优先类节能产品、环境标志产品统计表（价格扣除适用，若有）</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产品名称</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pPr>
              <w:pStyle w:val="null3"/>
              <w:jc w:val="left"/>
            </w:pPr>
            <w:r>
              <w:rPr/>
              <w:t>供应商自行填写种类，并上传证明附件以便评审查看</w:t>
            </w: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r>
      <w:tr>
        <w:tc>
          <w:tcPr>
            <w:tcW w:type="dxa" w:w="1187"/>
          </w:tcPr>
          <w:p>
            <w:pPr>
              <w:pStyle w:val="null3"/>
              <w:jc w:val="left"/>
            </w:pPr>
            <w:r>
              <w:rPr/>
              <w:t>备注</w:t>
            </w:r>
          </w:p>
        </w:tc>
        <w:tc>
          <w:tcPr>
            <w:tcW w:type="dxa" w:w="3561"/>
            <w:gridSpan w:val="3"/>
          </w:tcPr>
          <w:p>
            <w:pPr>
              <w:pStyle w:val="null3"/>
              <w:jc w:val="left"/>
            </w:pPr>
          </w:p>
        </w:tc>
      </w:tr>
    </w:tbl>
    <w:p>
      <w:pPr>
        <w:pStyle w:val="null3"/>
        <w:jc w:val="left"/>
      </w:pPr>
      <w:r>
        <w:rPr/>
        <w:t>※注意：</w:t>
      </w:r>
    </w:p>
    <w:p>
      <w:pPr>
        <w:pStyle w:val="null3"/>
        <w:ind w:firstLine="480"/>
        <w:jc w:val="left"/>
      </w:pPr>
      <w:r>
        <w:rPr/>
        <w:t>1、对节能、环境标志产品计算价格扣除时，只依据电子投标（响应）文件“投标（响应）报价明细表”以及“优先类节能产品、环境标志产品证明材料（价格扣除适用，若有）。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3.1若同一采购包内的单个或多个货物取得或同时取得节能、环境标志产品等两项或多项认证的，均按照单个货物对应一项认证的原则统计、计算1次。</w:t>
      </w:r>
    </w:p>
    <w:p>
      <w:pPr>
        <w:pStyle w:val="null3"/>
        <w:ind w:firstLine="480"/>
        <w:jc w:val="left"/>
      </w:pPr>
      <w:r>
        <w:rPr/>
        <w:t>3.2计算结果若除不尽，可四舍五入保留到小数点后两位。</w:t>
      </w:r>
    </w:p>
    <w:p>
      <w:pPr>
        <w:pStyle w:val="null3"/>
        <w:ind w:firstLine="480"/>
        <w:jc w:val="left"/>
      </w:pPr>
      <w:r>
        <w:rPr/>
        <w:t>3.3投标人(供应商)按照采购文件要求认真统计、计算。</w:t>
      </w:r>
    </w:p>
    <w:p>
      <w:pPr>
        <w:pStyle w:val="null3"/>
        <w:ind w:firstLine="480"/>
        <w:jc w:val="left"/>
      </w:pPr>
      <w:r>
        <w:rPr/>
        <w:t>3.4若无节能、环境标志产品，不填写本表。</w:t>
      </w:r>
    </w:p>
    <w:p>
      <w:pPr>
        <w:pStyle w:val="null3"/>
        <w:ind w:firstLine="480"/>
        <w:jc w:val="left"/>
      </w:pPr>
      <w:r>
        <w:rPr/>
        <w:t>3.5强制类节能产品不享受价格扣除。</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三-1-②优先类节能产品、环境标志产品证明材料（价格扣除适用，若有）</w:t>
      </w:r>
    </w:p>
    <w:p>
      <w:pPr>
        <w:pStyle w:val="null3"/>
        <w:jc w:val="center"/>
        <w:outlineLvl w:val="3"/>
      </w:pPr>
      <w:r>
        <w:rPr>
          <w:sz w:val="24"/>
          <w:b/>
        </w:rPr>
        <w:t>三-2小型、微型企业产品等价格扣除证明材料（若有）</w:t>
      </w:r>
    </w:p>
    <w:p>
      <w:pPr>
        <w:pStyle w:val="null3"/>
        <w:jc w:val="center"/>
        <w:outlineLvl w:val="3"/>
      </w:pPr>
      <w:r>
        <w:rPr>
          <w:sz w:val="24"/>
          <w:b/>
        </w:rPr>
        <w:t>三-2-①中小企业声明函（价格扣除适用，若有）</w:t>
      </w:r>
    </w:p>
    <w:p>
      <w:pPr>
        <w:pStyle w:val="null3"/>
        <w:jc w:val="center"/>
        <w:outlineLvl w:val="3"/>
      </w:pPr>
      <w:r>
        <w:rPr>
          <w:sz w:val="24"/>
          <w:b/>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三-2-②小型、微型企业等证明材料（价格扣除适用，若有）</w:t>
      </w:r>
    </w:p>
    <w:p>
      <w:pPr>
        <w:pStyle w:val="null3"/>
        <w:ind w:firstLine="480"/>
        <w:jc w:val="center"/>
      </w:pPr>
      <w:r>
        <w:rPr/>
        <w:t>编制说明</w:t>
      </w:r>
    </w:p>
    <w:p>
      <w:pPr>
        <w:pStyle w:val="null3"/>
        <w:ind w:firstLine="480"/>
        <w:jc w:val="left"/>
      </w:pPr>
      <w:r>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t>附：</w:t>
      </w:r>
    </w:p>
    <w:p>
      <w:pPr>
        <w:pStyle w:val="null3"/>
        <w:jc w:val="center"/>
        <w:outlineLvl w:val="3"/>
      </w:pPr>
      <w:r>
        <w:rPr>
          <w:sz w:val="24"/>
          <w:b/>
        </w:rPr>
        <w:t>残疾人福利性单位声明函（价格扣除适用，若有）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ind w:firstLine="480"/>
        <w:jc w:val="left"/>
      </w:pPr>
      <w:r>
        <w:rPr/>
        <w:t>附：</w:t>
      </w:r>
    </w:p>
    <w:p>
      <w:pPr>
        <w:pStyle w:val="null3"/>
        <w:jc w:val="center"/>
        <w:outlineLvl w:val="3"/>
      </w:pPr>
      <w:r>
        <w:rPr>
          <w:sz w:val="24"/>
          <w:b/>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sz w:val="24"/>
          <w:b/>
        </w:rPr>
        <w:t>三-3招标文件规定的其他价格扣除证明材料（若有）</w:t>
      </w:r>
    </w:p>
    <w:p>
      <w:pPr>
        <w:pStyle w:val="null3"/>
        <w:ind w:firstLine="480"/>
        <w:jc w:val="center"/>
      </w:pPr>
      <w:r>
        <w:rPr/>
        <w:t>编制说明</w:t>
      </w:r>
    </w:p>
    <w:p>
      <w:pPr>
        <w:pStyle w:val="null3"/>
        <w:ind w:firstLine="480"/>
        <w:jc w:val="left"/>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t xml:space="preserve"> </w:t>
        <w:br/>
        <w:br w:type="page"/>
      </w:r>
    </w:p>
    <w:p>
      <w:pPr>
        <w:pStyle w:val="null3"/>
        <w:jc w:val="center"/>
        <w:outlineLvl w:val="2"/>
      </w:pPr>
      <w:r>
        <w:rPr>
          <w:sz w:val="28"/>
          <w:b/>
        </w:rPr>
        <w:t>封面格式(技术商务部分)</w:t>
      </w:r>
    </w:p>
    <w:p>
      <w:pPr>
        <w:pStyle w:val="null3"/>
        <w:jc w:val="center"/>
        <w:outlineLvl w:val="0"/>
      </w:pPr>
      <w:r>
        <w:rPr>
          <w:sz w:val="48"/>
          <w:b/>
        </w:rPr>
        <w:t>福建省政府采购投标文件</w:t>
      </w:r>
    </w:p>
    <w:p>
      <w:pPr>
        <w:pStyle w:val="null3"/>
        <w:jc w:val="center"/>
        <w:outlineLvl w:val="0"/>
      </w:pPr>
      <w:r>
        <w:rPr>
          <w:sz w:val="48"/>
          <w:b/>
        </w:rPr>
        <w:t>（技术商务部分）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一、标的说明一览表</w:t>
      </w:r>
    </w:p>
    <w:p>
      <w:pPr>
        <w:pStyle w:val="null3"/>
        <w:ind w:firstLine="480"/>
        <w:jc w:val="left"/>
      </w:pPr>
      <w:r>
        <w:rPr/>
        <w:t>二、技术和服务要求响应表</w:t>
      </w:r>
    </w:p>
    <w:p>
      <w:pPr>
        <w:pStyle w:val="null3"/>
        <w:ind w:firstLine="480"/>
        <w:jc w:val="left"/>
      </w:pPr>
      <w:r>
        <w:rPr/>
        <w:t>三、商务条件响应表</w:t>
      </w:r>
    </w:p>
    <w:p>
      <w:pPr>
        <w:pStyle w:val="null3"/>
        <w:ind w:firstLine="480"/>
        <w:jc w:val="left"/>
      </w:pPr>
      <w:r>
        <w:rPr/>
        <w:t>四、投标人提交的其他资料（若有）</w:t>
      </w:r>
    </w:p>
    <w:p>
      <w:pPr>
        <w:pStyle w:val="null3"/>
        <w:ind w:firstLine="480"/>
        <w:jc w:val="left"/>
      </w:pPr>
      <w:r>
        <w:rPr/>
        <w:t>※注意</w:t>
      </w:r>
    </w:p>
    <w:p>
      <w:pPr>
        <w:pStyle w:val="null3"/>
        <w:ind w:firstLine="480"/>
        <w:jc w:val="left"/>
      </w:pPr>
      <w:r>
        <w:rPr/>
        <w:t>技术商务部分中不得出现报价部分的全部或部分的投标报价信息（或组成资料），否则符合性审查不合格。</w:t>
      </w:r>
    </w:p>
    <w:p>
      <w:pPr>
        <w:pStyle w:val="null3"/>
      </w:pPr>
      <w:r>
        <w:rPr/>
        <w:t xml:space="preserve"> </w:t>
        <w:br/>
        <w:br w:type="page"/>
      </w:r>
    </w:p>
    <w:p>
      <w:pPr>
        <w:pStyle w:val="null3"/>
        <w:jc w:val="center"/>
        <w:outlineLvl w:val="2"/>
      </w:pPr>
      <w:r>
        <w:rPr>
          <w:sz w:val="28"/>
          <w:b/>
        </w:rPr>
        <w:t>一、标的说明一览表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投标标的</w:t>
            </w:r>
          </w:p>
        </w:tc>
        <w:tc>
          <w:tcPr>
            <w:tcW w:type="dxa" w:w="1187"/>
          </w:tcPr>
          <w:p>
            <w:pPr>
              <w:pStyle w:val="null3"/>
              <w:jc w:val="left"/>
            </w:pPr>
            <w:r>
              <w:rPr/>
              <w:t>数量</w:t>
            </w:r>
          </w:p>
        </w:tc>
        <w:tc>
          <w:tcPr>
            <w:tcW w:type="dxa" w:w="1187"/>
          </w:tcPr>
          <w:p>
            <w:pPr>
              <w:pStyle w:val="null3"/>
              <w:jc w:val="left"/>
            </w:pPr>
            <w:r>
              <w:rPr/>
              <w:t>规格</w:t>
            </w:r>
          </w:p>
        </w:tc>
        <w:tc>
          <w:tcPr>
            <w:tcW w:type="dxa" w:w="1187"/>
          </w:tcPr>
          <w:p>
            <w:pPr>
              <w:pStyle w:val="null3"/>
              <w:jc w:val="left"/>
            </w:pPr>
            <w:r>
              <w:rPr/>
              <w:t>来源地</w:t>
            </w:r>
          </w:p>
        </w:tc>
        <w:tc>
          <w:tcPr>
            <w:tcW w:type="dxa" w:w="1187"/>
          </w:tcPr>
          <w:p>
            <w:pPr>
              <w:pStyle w:val="null3"/>
              <w:jc w:val="left"/>
            </w:pPr>
            <w:r>
              <w:rPr/>
              <w:t>备注</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1.1“采购包”、“品目号”、“投标标的”及“数量”应与招标文件《采购标的一览表》中的有关内容（“采购包”、“品目号”、“采购标的”及“数量”）保持一致。</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二、技术和服务要求响应表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技术和服务要求</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1.1“技术和服务要求”项下填写的内容应与招标文件第五章“技术和服务要求”的内容保持一致。</w:t>
      </w:r>
    </w:p>
    <w:p>
      <w:pPr>
        <w:pStyle w:val="null3"/>
        <w:ind w:firstLine="480"/>
        <w:jc w:val="left"/>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三、商务条件响应表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商务条件</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1.1“商务条件”项下填写的内容应与招标文件第五章“商务条件”的内容保持一致。</w:t>
      </w:r>
    </w:p>
    <w:p>
      <w:pPr>
        <w:pStyle w:val="null3"/>
        <w:ind w:firstLine="480"/>
        <w:jc w:val="left"/>
      </w:pPr>
      <w:r>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四、投标人提交的其他资料（若有）</w:t>
      </w:r>
    </w:p>
    <w:p>
      <w:pPr>
        <w:pStyle w:val="null3"/>
        <w:ind w:firstLine="480"/>
        <w:jc w:val="center"/>
      </w:pPr>
      <w:r>
        <w:rPr/>
        <w:t>编制说明</w:t>
      </w:r>
    </w:p>
    <w:p>
      <w:pPr>
        <w:pStyle w:val="null3"/>
        <w:ind w:firstLine="480"/>
        <w:jc w:val="left"/>
      </w:pPr>
      <w:r>
        <w:rPr/>
        <w:t>1、招标文件要求提交的除“资格及资信证明部分”、“报价部分”外的其他证明材料或资料加盖投标人的单位公章后应在此项下提交。</w:t>
      </w:r>
    </w:p>
    <w:p>
      <w:pPr>
        <w:pStyle w:val="null3"/>
        <w:ind w:firstLine="480"/>
        <w:jc w:val="left"/>
      </w:pPr>
      <w:r>
        <w:rPr/>
        <w:t>2、招标文件要求投标人提供方案（包括但不限于：组织、实施、技术、服务方案等）的，投标人应在此项下提交。</w:t>
      </w:r>
    </w:p>
    <w:p>
      <w:pPr>
        <w:pStyle w:val="null3"/>
        <w:ind w:firstLine="480"/>
        <w:jc w:val="left"/>
      </w:pPr>
      <w:r>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media/image1.png" Type="http://schemas.openxmlformats.org/officeDocument/2006/relationships/image"/><Relationship Id="rId6" Target="media/image2.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