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line="460" w:lineRule="exact"/>
        <w:jc w:val="center"/>
        <w:rPr>
          <w:rFonts w:ascii="方正小标宋_GBK" w:hAnsi="方正小标宋_GBK" w:eastAsia="方正小标宋_GBK" w:cs="方正小标宋_GBK"/>
          <w:sz w:val="32"/>
          <w:szCs w:val="40"/>
        </w:rPr>
      </w:pPr>
      <w:r>
        <w:rPr>
          <w:rFonts w:hint="eastAsia" w:ascii="方正小标宋_GBK" w:hAnsi="方正小标宋_GBK" w:eastAsia="方正小标宋_GBK" w:cs="方正小标宋_GBK"/>
          <w:sz w:val="32"/>
          <w:szCs w:val="40"/>
        </w:rPr>
        <w:t>竞赛样题</w:t>
      </w:r>
    </w:p>
    <w:p>
      <w:pPr>
        <w:spacing w:line="460" w:lineRule="exact"/>
        <w:rPr>
          <w:rFonts w:asciiTheme="minorEastAsia" w:hAnsiTheme="minorEastAsia" w:cstheme="minorEastAsia"/>
          <w:sz w:val="24"/>
          <w:szCs w:val="32"/>
        </w:rPr>
      </w:pPr>
      <w:r>
        <w:rPr>
          <w:rFonts w:hint="eastAsia" w:asciiTheme="minorEastAsia" w:hAnsiTheme="minorEastAsia" w:cstheme="minorEastAsia"/>
          <w:sz w:val="24"/>
          <w:szCs w:val="32"/>
        </w:rPr>
        <w:t xml:space="preserve">   </w:t>
      </w:r>
    </w:p>
    <w:p>
      <w:pPr>
        <w:spacing w:line="46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考试题型说明：</w:t>
      </w:r>
    </w:p>
    <w:p>
      <w:pPr>
        <w:spacing w:line="46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1.理论考试：单项选择题、多项选择题、判断题、案例分析题；</w:t>
      </w:r>
    </w:p>
    <w:p>
      <w:pPr>
        <w:spacing w:line="46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2.技能操作考试（公路造价编制软件应用）:造价文件编制题。</w:t>
      </w:r>
    </w:p>
    <w:p>
      <w:pPr>
        <w:spacing w:line="46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其中行业管理组采用书面理论考试方式，不考核技能操作，满分100分；行业企业组和高等院校组采用书面理论考试和技能操作（公路造价编制软件应用）方式，合计满分100分。</w:t>
      </w:r>
    </w:p>
    <w:p>
      <w:pPr>
        <w:spacing w:line="460" w:lineRule="exact"/>
        <w:ind w:firstLine="480" w:firstLineChars="20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样题如下：</w:t>
      </w:r>
    </w:p>
    <w:p>
      <w:pPr>
        <w:spacing w:line="46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一、单项选择题</w:t>
      </w:r>
    </w:p>
    <w:p>
      <w:pPr>
        <w:spacing w:line="46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 当一个工程项目总报价基本确定后，通过调整内部各个项目的报价，以既不提高报价不影响中标，又能在结算时得到更理想的经济效益。这种投标报价技巧叫做(     )。</w:t>
      </w:r>
    </w:p>
    <w:p>
      <w:pPr>
        <w:spacing w:line="460" w:lineRule="exact"/>
        <w:ind w:firstLine="600" w:firstLineChars="25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A、多方案报价法                           B、不平衡报价法  </w:t>
      </w:r>
    </w:p>
    <w:p>
      <w:pPr>
        <w:spacing w:line="460" w:lineRule="exact"/>
        <w:ind w:firstLine="600" w:firstLineChars="250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C、根据项目的不同特点采用不同报价         D、计日工单价的报价</w:t>
      </w:r>
    </w:p>
    <w:p>
      <w:pPr>
        <w:spacing w:line="46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2.略。</w:t>
      </w:r>
    </w:p>
    <w:p>
      <w:pPr>
        <w:spacing w:line="460" w:lineRule="exact"/>
        <w:ind w:left="-2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二、多项选择题</w:t>
      </w:r>
    </w:p>
    <w:p>
      <w:pPr>
        <w:spacing w:line="46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</w:t>
      </w:r>
      <w:r>
        <w:rPr>
          <w:rFonts w:hint="eastAsia" w:ascii="宋体" w:hAnsi="宋体" w:eastAsia="宋体" w:cs="宋体"/>
          <w:color w:val="000000"/>
          <w:sz w:val="24"/>
        </w:rPr>
        <w:t xml:space="preserve"> </w:t>
      </w:r>
      <w:r>
        <w:rPr>
          <w:rFonts w:hint="eastAsia" w:ascii="宋体" w:hAnsi="宋体" w:eastAsia="宋体" w:cs="宋体"/>
          <w:sz w:val="24"/>
        </w:rPr>
        <w:t>下列支付属于合同支付内容的有（     ）。</w:t>
      </w:r>
    </w:p>
    <w:p>
      <w:pPr>
        <w:spacing w:line="46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 A、计日工   B、工程变更       C、工程索赔    D、暂列金额   E、质量保证金</w:t>
      </w:r>
    </w:p>
    <w:p>
      <w:pPr>
        <w:spacing w:line="46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2.略</w:t>
      </w:r>
    </w:p>
    <w:p>
      <w:pPr>
        <w:spacing w:line="46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三、</w:t>
      </w:r>
      <w:r>
        <w:rPr>
          <w:rFonts w:hint="eastAsia" w:ascii="宋体" w:hAnsi="宋体" w:eastAsia="宋体" w:cs="宋体"/>
          <w:b/>
          <w:bCs/>
          <w:sz w:val="24"/>
        </w:rPr>
        <w:t>判断题</w:t>
      </w:r>
    </w:p>
    <w:p>
      <w:pPr>
        <w:spacing w:line="46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1. 招标文件工程量清单中所列的工程数量是设计的预计数量，不能作为最终结算和支付的依据。竣工后的工程量是建设工程的实际数量。（   ）</w:t>
      </w:r>
    </w:p>
    <w:p>
      <w:pPr>
        <w:spacing w:line="460" w:lineRule="exac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2．</w:t>
      </w:r>
      <w:r>
        <w:rPr>
          <w:rFonts w:hint="eastAsia" w:ascii="宋体" w:hAnsi="宋体" w:eastAsia="宋体" w:cs="宋体"/>
          <w:bCs/>
          <w:sz w:val="24"/>
        </w:rPr>
        <w:t>略</w:t>
      </w:r>
    </w:p>
    <w:p>
      <w:pPr>
        <w:pStyle w:val="6"/>
        <w:spacing w:before="0" w:beforeAutospacing="0" w:after="0" w:afterAutospacing="0" w:line="460" w:lineRule="exact"/>
        <w:rPr>
          <w:rFonts w:cs="宋体"/>
          <w:b/>
          <w:bCs/>
        </w:rPr>
      </w:pPr>
      <w:r>
        <w:rPr>
          <w:rFonts w:hint="eastAsia" w:cs="宋体"/>
          <w:b/>
          <w:bCs/>
        </w:rPr>
        <w:t>四、案例分析题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ascii="宋体" w:hAnsi="宋体" w:eastAsia="宋体" w:cs="宋体"/>
          <w:bCs/>
          <w:sz w:val="24"/>
        </w:rPr>
      </w:pPr>
      <w:r>
        <w:rPr>
          <w:rFonts w:hint="eastAsia" w:ascii="宋体" w:hAnsi="宋体" w:eastAsia="宋体" w:cs="宋体"/>
          <w:b/>
          <w:sz w:val="24"/>
        </w:rPr>
        <w:t xml:space="preserve">1.背景材料 </w:t>
      </w:r>
      <w:r>
        <w:rPr>
          <w:rFonts w:hint="eastAsia" w:ascii="宋体" w:hAnsi="宋体" w:eastAsia="宋体" w:cs="宋体"/>
          <w:bCs/>
          <w:sz w:val="24"/>
        </w:rPr>
        <w:t>某高速公路A1标段为沥青混凝土路面工程，其面层设计为上面层：5cm厚细粒式；中面层：6cm厚中粒式；下面层：7cm厚粗粒式，上、中、下面层数量均为624000m</w:t>
      </w:r>
      <w:r>
        <w:rPr>
          <w:rFonts w:hint="eastAsia" w:ascii="宋体" w:hAnsi="宋体" w:eastAsia="宋体" w:cs="宋体"/>
          <w:bCs/>
          <w:sz w:val="24"/>
          <w:vertAlign w:val="superscript"/>
        </w:rPr>
        <w:t>2</w:t>
      </w:r>
      <w:r>
        <w:rPr>
          <w:rFonts w:hint="eastAsia" w:ascii="宋体" w:hAnsi="宋体" w:eastAsia="宋体" w:cs="宋体"/>
          <w:bCs/>
          <w:sz w:val="24"/>
        </w:rPr>
        <w:t>。该标段路线长24km（起点桩号K32+000），在该标段K40+000处有一块比较平坦的场地，且与路线相邻，可设置拌和站。该路面工程施工工期为6个月，沥青混凝土采用集中拌和、自卸汽车运输、机械逐层摊铺，拌和站场地建设不考虑。（假设施工单位有拌和设备型号320t/h和240t/h两种可供选择，设备利用率均为0.85，每天施工8小时。另拌和设备安拆等准备工作及收尾工作约需1个月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2" w:firstLineChars="200"/>
        <w:textAlignment w:val="auto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问题：</w:t>
      </w:r>
      <w:r>
        <w:rPr>
          <w:rFonts w:hint="eastAsia" w:ascii="宋体" w:hAnsi="宋体" w:eastAsia="宋体" w:cs="宋体"/>
          <w:sz w:val="24"/>
        </w:rPr>
        <w:t>请根据上述背景材料及公路工程预算定额（2018），列出该路面工程造价所涉及的相关定额的名称、单位、定额代号、数量等内容，填入下面预算定额子目表中。（</w:t>
      </w:r>
      <w:r>
        <w:rPr>
          <w:rFonts w:hint="eastAsia" w:ascii="宋体" w:hAnsi="宋体" w:eastAsia="宋体" w:cs="宋体"/>
          <w:b/>
          <w:sz w:val="24"/>
        </w:rPr>
        <w:t>注：本工程透层沥青、粘层沥青数量不考虑，拌和站数量及混合料运距自行计算</w:t>
      </w:r>
      <w:r>
        <w:rPr>
          <w:rFonts w:hint="eastAsia" w:ascii="宋体" w:hAnsi="宋体" w:eastAsia="宋体" w:cs="宋体"/>
          <w:sz w:val="24"/>
        </w:rPr>
        <w:t>）</w:t>
      </w:r>
    </w:p>
    <w:p>
      <w:pPr>
        <w:spacing w:line="460" w:lineRule="exact"/>
        <w:jc w:val="center"/>
        <w:rPr>
          <w:rFonts w:ascii="宋体" w:hAnsi="宋体" w:eastAsia="宋体" w:cs="宋体"/>
          <w:b/>
          <w:sz w:val="24"/>
        </w:rPr>
      </w:pPr>
      <w:r>
        <w:rPr>
          <w:rFonts w:hint="eastAsia" w:ascii="宋体" w:hAnsi="宋体" w:eastAsia="宋体" w:cs="宋体"/>
          <w:b/>
          <w:sz w:val="24"/>
        </w:rPr>
        <w:t>预算定额子目表</w:t>
      </w:r>
    </w:p>
    <w:tbl>
      <w:tblPr>
        <w:tblStyle w:val="8"/>
        <w:tblW w:w="839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1"/>
        <w:gridCol w:w="3255"/>
        <w:gridCol w:w="764"/>
        <w:gridCol w:w="1160"/>
        <w:gridCol w:w="929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5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序号</w:t>
            </w:r>
          </w:p>
        </w:tc>
        <w:tc>
          <w:tcPr>
            <w:tcW w:w="3255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定额子目名称</w:t>
            </w:r>
          </w:p>
        </w:tc>
        <w:tc>
          <w:tcPr>
            <w:tcW w:w="764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116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定额表号</w:t>
            </w:r>
          </w:p>
        </w:tc>
        <w:tc>
          <w:tcPr>
            <w:tcW w:w="929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工程量</w:t>
            </w:r>
          </w:p>
        </w:tc>
        <w:tc>
          <w:tcPr>
            <w:tcW w:w="1640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定额调整情况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3255" w:type="dxa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60" w:lineRule="exact"/>
              <w:ind w:firstLine="415" w:firstLineChars="19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3255" w:type="dxa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60" w:lineRule="exact"/>
              <w:ind w:firstLine="415" w:firstLineChars="19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51" w:type="dxa"/>
            <w:vAlign w:val="center"/>
          </w:tcPr>
          <w:p>
            <w:pPr>
              <w:spacing w:line="4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...</w:t>
            </w:r>
          </w:p>
        </w:tc>
        <w:tc>
          <w:tcPr>
            <w:tcW w:w="3255" w:type="dxa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764" w:type="dxa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929" w:type="dxa"/>
            <w:vAlign w:val="center"/>
          </w:tcPr>
          <w:p>
            <w:pPr>
              <w:spacing w:line="460" w:lineRule="exact"/>
              <w:rPr>
                <w:rFonts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40" w:type="dxa"/>
            <w:vAlign w:val="center"/>
          </w:tcPr>
          <w:p>
            <w:pPr>
              <w:spacing w:line="460" w:lineRule="exact"/>
              <w:ind w:firstLine="415" w:firstLineChars="198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pStyle w:val="6"/>
        <w:spacing w:before="0" w:beforeAutospacing="0" w:after="0" w:afterAutospacing="0" w:line="460" w:lineRule="exact"/>
        <w:rPr>
          <w:rFonts w:cs="宋体"/>
          <w:b/>
          <w:bCs/>
        </w:rPr>
      </w:pPr>
      <w:r>
        <w:rPr>
          <w:rFonts w:hint="eastAsia" w:cs="宋体"/>
          <w:b/>
          <w:bCs/>
        </w:rPr>
        <w:t>2.略</w:t>
      </w:r>
    </w:p>
    <w:p>
      <w:pPr>
        <w:pStyle w:val="6"/>
        <w:spacing w:before="0" w:beforeAutospacing="0" w:after="0" w:afterAutospacing="0" w:line="460" w:lineRule="exact"/>
        <w:rPr>
          <w:rFonts w:hint="eastAsia" w:cs="宋体"/>
          <w:b/>
          <w:bCs/>
        </w:rPr>
      </w:pPr>
    </w:p>
    <w:p>
      <w:pPr>
        <w:pStyle w:val="6"/>
        <w:spacing w:before="0" w:beforeAutospacing="0" w:after="0" w:afterAutospacing="0" w:line="460" w:lineRule="exact"/>
        <w:rPr>
          <w:rFonts w:cs="宋体"/>
          <w:b/>
          <w:bCs/>
        </w:rPr>
      </w:pPr>
      <w:r>
        <w:rPr>
          <w:rFonts w:hint="eastAsia" w:cs="宋体"/>
          <w:b/>
          <w:bCs/>
        </w:rPr>
        <w:t>五、技能操作题（公路造价编制软件应用）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福建</w:t>
      </w:r>
      <w:r>
        <w:rPr>
          <w:rFonts w:hint="eastAsia" w:ascii="宋体" w:hAnsi="宋体" w:eastAsia="宋体" w:cs="宋体"/>
          <w:sz w:val="24"/>
          <w:lang w:val="en-US" w:eastAsia="zh-CN"/>
        </w:rPr>
        <w:t>省</w:t>
      </w:r>
      <w:r>
        <w:rPr>
          <w:rFonts w:hint="eastAsia" w:ascii="宋体" w:hAnsi="宋体" w:eastAsia="宋体" w:cs="宋体"/>
          <w:sz w:val="24"/>
        </w:rPr>
        <w:t>XX二级公路</w:t>
      </w:r>
      <w:r>
        <w:rPr>
          <w:rFonts w:hint="eastAsia" w:ascii="宋体" w:hAnsi="宋体" w:eastAsia="宋体" w:cs="宋体"/>
          <w:sz w:val="24"/>
          <w:lang w:val="en-US" w:eastAsia="zh-CN"/>
        </w:rPr>
        <w:t>路基</w:t>
      </w:r>
      <w:r>
        <w:rPr>
          <w:rFonts w:hint="eastAsia" w:ascii="宋体" w:hAnsi="宋体" w:eastAsia="宋体" w:cs="宋体"/>
          <w:sz w:val="24"/>
        </w:rPr>
        <w:t>改建工程为国道的一部分，工程地点</w:t>
      </w:r>
      <w:r>
        <w:rPr>
          <w:rFonts w:hint="eastAsia" w:ascii="宋体" w:hAnsi="宋体" w:eastAsia="宋体" w:cs="宋体"/>
          <w:sz w:val="24"/>
          <w:lang w:val="en-US" w:eastAsia="zh-CN"/>
        </w:rPr>
        <w:t>位于</w:t>
      </w:r>
      <w:r>
        <w:rPr>
          <w:rFonts w:hint="eastAsia" w:ascii="宋体" w:hAnsi="宋体" w:eastAsia="宋体" w:cs="宋体"/>
          <w:sz w:val="24"/>
        </w:rPr>
        <w:t>南平市</w:t>
      </w:r>
      <w:r>
        <w:rPr>
          <w:rFonts w:hint="eastAsia" w:ascii="宋体" w:hAnsi="宋体" w:eastAsia="宋体" w:cs="宋体"/>
          <w:sz w:val="24"/>
          <w:lang w:val="en-US" w:eastAsia="zh-CN"/>
        </w:rPr>
        <w:t>延平区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hint="eastAsia" w:ascii="宋体" w:hAnsi="宋体" w:eastAsia="宋体" w:cs="宋体"/>
          <w:sz w:val="24"/>
          <w:lang w:val="en-US" w:eastAsia="zh-CN"/>
        </w:rPr>
        <w:t>起止</w:t>
      </w:r>
      <w:r>
        <w:rPr>
          <w:rFonts w:hint="eastAsia" w:ascii="宋体" w:hAnsi="宋体" w:eastAsia="宋体" w:cs="宋体"/>
          <w:sz w:val="24"/>
        </w:rPr>
        <w:t>桩号为K0+000-K5+000</w:t>
      </w:r>
      <w:r>
        <w:rPr>
          <w:rFonts w:hint="eastAsia" w:ascii="宋体" w:hAnsi="宋体" w:eastAsia="宋体" w:cs="宋体"/>
          <w:sz w:val="24"/>
          <w:lang w:eastAsia="zh-CN"/>
        </w:rPr>
        <w:t>，</w:t>
      </w:r>
      <w:r>
        <w:rPr>
          <w:rFonts w:hint="eastAsia" w:ascii="宋体" w:hAnsi="宋体" w:eastAsia="宋体" w:cs="宋体"/>
          <w:sz w:val="24"/>
        </w:rPr>
        <w:t>平原微丘区。施工期间</w:t>
      </w:r>
      <w:r>
        <w:rPr>
          <w:rFonts w:hint="eastAsia" w:ascii="宋体" w:hAnsi="宋体" w:eastAsia="宋体" w:cs="宋体"/>
          <w:sz w:val="24"/>
          <w:lang w:val="en-US" w:eastAsia="zh-CN"/>
        </w:rPr>
        <w:t>边施工边通车，</w:t>
      </w:r>
      <w:r>
        <w:rPr>
          <w:rFonts w:hint="eastAsia" w:ascii="宋体" w:hAnsi="宋体" w:eastAsia="宋体" w:cs="宋体"/>
          <w:sz w:val="24"/>
        </w:rPr>
        <w:t>平均每昼夜双向行车次数为2001-3000次，交工前养护月数3个月。</w:t>
      </w:r>
      <w:r>
        <w:rPr>
          <w:rFonts w:hint="eastAsia" w:ascii="宋体" w:hAnsi="宋体" w:eastAsia="宋体" w:cs="宋体"/>
          <w:sz w:val="24"/>
          <w:lang w:val="en-US" w:eastAsia="zh-CN"/>
        </w:rPr>
        <w:t>请</w:t>
      </w:r>
      <w:r>
        <w:rPr>
          <w:rFonts w:hint="eastAsia" w:ascii="宋体" w:hAnsi="宋体" w:eastAsia="宋体" w:cs="宋体"/>
          <w:sz w:val="24"/>
        </w:rPr>
        <w:t>按现行部颁标准、福建省补充编制办法及以下相关资料编制预算文件，导出相关报表。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/>
          <w:b/>
          <w:sz w:val="24"/>
          <w:szCs w:val="24"/>
        </w:rPr>
        <w:t>1、计算参数</w:t>
      </w:r>
      <w:r>
        <w:rPr>
          <w:rFonts w:hint="eastAsia"/>
          <w:b/>
          <w:sz w:val="24"/>
          <w:szCs w:val="24"/>
          <w:lang w:eastAsia="zh-CN"/>
        </w:rPr>
        <w:t>（</w:t>
      </w:r>
      <w:r>
        <w:rPr>
          <w:rFonts w:hint="eastAsia"/>
          <w:b/>
          <w:sz w:val="24"/>
          <w:szCs w:val="24"/>
          <w:lang w:val="en-US" w:eastAsia="zh-CN"/>
        </w:rPr>
        <w:t>如下表1</w:t>
      </w:r>
      <w:r>
        <w:rPr>
          <w:rFonts w:hint="eastAsia"/>
          <w:b/>
          <w:sz w:val="24"/>
          <w:szCs w:val="24"/>
          <w:lang w:eastAsia="zh-CN"/>
        </w:rPr>
        <w:t>）</w:t>
      </w:r>
      <w:r>
        <w:rPr>
          <w:rFonts w:hint="eastAsia"/>
          <w:b/>
          <w:sz w:val="24"/>
          <w:szCs w:val="24"/>
        </w:rPr>
        <w:t xml:space="preserve"> </w:t>
      </w:r>
    </w:p>
    <w:tbl>
      <w:tblPr>
        <w:tblStyle w:val="8"/>
        <w:tblW w:w="90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3"/>
        <w:gridCol w:w="2268"/>
        <w:gridCol w:w="2409"/>
        <w:gridCol w:w="1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计划利润率（%）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.42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增值税税率（%）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年造价上涨率 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上涨计费年限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5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机械不变费用系数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辅助生产间接费率（%）</w:t>
            </w:r>
          </w:p>
        </w:tc>
        <w:tc>
          <w:tcPr>
            <w:tcW w:w="1520" w:type="dxa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/>
          <w:b/>
          <w:szCs w:val="22"/>
        </w:rPr>
      </w:pPr>
    </w:p>
    <w:p>
      <w:pPr>
        <w:numPr>
          <w:ilvl w:val="0"/>
          <w:numId w:val="1"/>
        </w:numPr>
        <w:spacing w:line="360" w:lineRule="auto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取费信息</w:t>
      </w:r>
    </w:p>
    <w:p>
      <w:pPr>
        <w:numPr>
          <w:ilvl w:val="0"/>
          <w:numId w:val="2"/>
        </w:numPr>
        <w:spacing w:line="360" w:lineRule="auto"/>
        <w:ind w:firstLine="241" w:firstLineChars="100"/>
        <w:rPr>
          <w:rFonts w:hint="eastAsia"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费率文件属性</w:t>
      </w:r>
    </w:p>
    <w:p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firstLine="3150" w:firstLineChars="1500"/>
        <w:textAlignment w:val="auto"/>
        <w:rPr>
          <w:rFonts w:hint="default" w:eastAsia="宋体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表2  费率属性表</w:t>
      </w:r>
    </w:p>
    <w:tbl>
      <w:tblPr>
        <w:tblStyle w:val="8"/>
        <w:tblW w:w="92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1685"/>
        <w:gridCol w:w="1919"/>
        <w:gridCol w:w="354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工程所在地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福建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费率标准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 福建估概预算-闽交建〔2019〕31 号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冬季施工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不计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雨季施工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夜间施工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不计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高原施工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不计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风沙施工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不计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沿海地区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不计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行车干扰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计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施工辅助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工地转移（km）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60 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基本费用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综合里程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职工探亲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0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职工取暖</w:t>
            </w:r>
          </w:p>
        </w:tc>
        <w:tc>
          <w:tcPr>
            <w:tcW w:w="1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不计</w:t>
            </w:r>
          </w:p>
        </w:tc>
        <w:tc>
          <w:tcPr>
            <w:tcW w:w="19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财务费用</w:t>
            </w:r>
          </w:p>
        </w:tc>
        <w:tc>
          <w:tcPr>
            <w:tcW w:w="35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养老保险(%)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16 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失业保险(km)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0.5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医疗保险(%)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 xml:space="preserve">8.5 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工伤保险(%)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" w:hRule="atLeast"/>
        </w:trPr>
        <w:tc>
          <w:tcPr>
            <w:tcW w:w="2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住房公积金(%)</w:t>
            </w:r>
          </w:p>
        </w:tc>
        <w:tc>
          <w:tcPr>
            <w:tcW w:w="1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8.5</w:t>
            </w:r>
          </w:p>
        </w:tc>
        <w:tc>
          <w:tcPr>
            <w:tcW w:w="19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2295"/>
        </w:tabs>
        <w:kinsoku/>
        <w:wordWrap/>
        <w:overflowPunct/>
        <w:topLinePunct w:val="0"/>
        <w:bidi w:val="0"/>
        <w:snapToGrid/>
        <w:spacing w:line="460" w:lineRule="exact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</w:pPr>
      <w:bookmarkStart w:id="0" w:name="_Toc12291"/>
      <w:bookmarkStart w:id="1" w:name="_Toc28265"/>
      <w:bookmarkStart w:id="2" w:name="_Toc25835"/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2）第二部分费用：略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3）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第三部分费用: 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4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预备费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：价差预备费不计；基本预备费以第一、二、三部分费用之和为基数按3%的费率计算。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2" w:firstLineChars="200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3" w:name="_Toc29092"/>
      <w:bookmarkStart w:id="4" w:name="_Toc20279"/>
      <w:bookmarkStart w:id="5" w:name="_Toc29260"/>
      <w:r>
        <w:rPr>
          <w:rFonts w:hint="eastAsia" w:ascii="宋体" w:hAnsi="宋体" w:eastAsia="宋体" w:cs="宋体"/>
          <w:b/>
          <w:color w:val="auto"/>
          <w:sz w:val="24"/>
          <w:szCs w:val="24"/>
        </w:rPr>
        <w:t>5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建设期贷款利息不计取。</w:t>
      </w:r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6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工伤保险费：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在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预算文件末尾新增费用栏列支，按照项目总造价的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1.5‰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单独计列。</w:t>
      </w:r>
    </w:p>
    <w:p>
      <w:pPr>
        <w:keepNext w:val="0"/>
        <w:keepLines w:val="0"/>
        <w:pageBreakBefore w:val="0"/>
        <w:widowControl w:val="0"/>
        <w:tabs>
          <w:tab w:val="left" w:pos="2295"/>
        </w:tabs>
        <w:kinsoku/>
        <w:wordWrap/>
        <w:overflowPunct/>
        <w:topLinePunct w:val="0"/>
        <w:bidi w:val="0"/>
        <w:snapToGrid/>
        <w:spacing w:line="460" w:lineRule="exact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人工、材料、机械价格信息</w:t>
      </w:r>
      <w:bookmarkEnd w:id="0"/>
      <w:bookmarkEnd w:id="1"/>
      <w:bookmarkEnd w:id="2"/>
    </w:p>
    <w:p>
      <w:pPr>
        <w:keepNext w:val="0"/>
        <w:keepLines w:val="0"/>
        <w:pageBreakBefore w:val="0"/>
        <w:widowControl w:val="0"/>
        <w:tabs>
          <w:tab w:val="left" w:pos="2295"/>
        </w:tabs>
        <w:kinsoku/>
        <w:wordWrap/>
        <w:overflowPunct/>
        <w:topLinePunct w:val="0"/>
        <w:bidi w:val="0"/>
        <w:snapToGrid/>
        <w:spacing w:line="460" w:lineRule="exact"/>
        <w:ind w:firstLine="482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人工工日单价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：112元/工日。机械台班预算单价：由软件自动计算，车船税标准采用“19年福建养路车船税标准”，不计养护费。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60" w:lineRule="exact"/>
        <w:textAlignment w:val="auto"/>
        <w:outlineLvl w:val="9"/>
        <w:rPr>
          <w:rFonts w:hint="eastAsia" w:ascii="宋体" w:hAnsi="宋体" w:eastAsia="宋体" w:cs="宋体"/>
          <w:b/>
          <w:color w:val="auto"/>
          <w:sz w:val="24"/>
          <w:szCs w:val="24"/>
        </w:rPr>
      </w:pPr>
      <w:bookmarkStart w:id="6" w:name="_Toc22149"/>
      <w:bookmarkStart w:id="7" w:name="_Toc9558"/>
      <w:bookmarkStart w:id="8" w:name="_Toc25982"/>
      <w:r>
        <w:rPr>
          <w:rFonts w:hint="eastAsia" w:ascii="宋体" w:hAnsi="宋体" w:eastAsia="宋体" w:cs="宋体"/>
          <w:b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b/>
          <w:color w:val="auto"/>
          <w:sz w:val="24"/>
          <w:szCs w:val="24"/>
        </w:rPr>
        <w:t>材料价格信息</w:t>
      </w:r>
      <w:bookmarkEnd w:id="6"/>
      <w:bookmarkEnd w:id="7"/>
      <w:bookmarkEnd w:id="8"/>
    </w:p>
    <w:p>
      <w:pPr>
        <w:keepNext w:val="0"/>
        <w:keepLines w:val="0"/>
        <w:pageBreakBefore w:val="0"/>
        <w:widowControl w:val="0"/>
        <w:tabs>
          <w:tab w:val="left" w:pos="2295"/>
        </w:tabs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水泥、木材等外购材料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如表3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由县城供应，由汽车运输，平均运距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0公里。</w:t>
      </w:r>
    </w:p>
    <w:p>
      <w:pPr>
        <w:keepNext w:val="0"/>
        <w:keepLines w:val="0"/>
        <w:pageBreakBefore w:val="0"/>
        <w:widowControl w:val="0"/>
        <w:tabs>
          <w:tab w:val="left" w:pos="2295"/>
        </w:tabs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中（粗）砂、砂砾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如表3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由地方料场购买，汽车运输，平均运距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5公里。</w:t>
      </w:r>
    </w:p>
    <w:p>
      <w:pPr>
        <w:keepNext w:val="0"/>
        <w:keepLines w:val="0"/>
        <w:pageBreakBefore w:val="0"/>
        <w:widowControl w:val="0"/>
        <w:tabs>
          <w:tab w:val="left" w:pos="2295"/>
        </w:tabs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片石、块石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为自采材料，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利用路基开炸石方捡清，平均运距2.5公里。</w:t>
      </w:r>
    </w:p>
    <w:p>
      <w:pPr>
        <w:keepNext w:val="0"/>
        <w:keepLines w:val="0"/>
        <w:pageBreakBefore w:val="0"/>
        <w:widowControl w:val="0"/>
        <w:tabs>
          <w:tab w:val="left" w:pos="2295"/>
        </w:tabs>
        <w:kinsoku/>
        <w:wordWrap/>
        <w:overflowPunct/>
        <w:topLinePunct w:val="0"/>
        <w:bidi w:val="0"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汽车运输的运杂费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假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定如下：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①运价均假定为0.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元/t.km；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②装卸费：装卸一次，费用均假定为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.0元/t。</w:t>
      </w:r>
    </w:p>
    <w:p>
      <w:pPr>
        <w:pStyle w:val="3"/>
        <w:jc w:val="center"/>
        <w:rPr>
          <w:rFonts w:hint="eastAsia"/>
          <w:b w:val="0"/>
          <w:bCs/>
          <w:color w:val="auto"/>
        </w:rPr>
      </w:pPr>
      <w:r>
        <w:rPr>
          <w:rFonts w:hint="eastAsia" w:ascii="宋体" w:hAnsi="宋体"/>
          <w:b w:val="0"/>
          <w:bCs/>
          <w:color w:val="auto"/>
          <w:szCs w:val="21"/>
          <w:lang w:val="en-US" w:eastAsia="zh-CN"/>
        </w:rPr>
        <w:t>表3  部分</w:t>
      </w:r>
      <w:r>
        <w:rPr>
          <w:rFonts w:hint="eastAsia"/>
          <w:b w:val="0"/>
          <w:bCs/>
          <w:color w:val="auto"/>
        </w:rPr>
        <w:t>材料原价（供应价）表</w:t>
      </w:r>
    </w:p>
    <w:tbl>
      <w:tblPr>
        <w:tblStyle w:val="8"/>
        <w:tblW w:w="961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46"/>
        <w:gridCol w:w="818"/>
        <w:gridCol w:w="1872"/>
        <w:gridCol w:w="678"/>
        <w:gridCol w:w="1446"/>
        <w:gridCol w:w="818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87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原价（供应价）</w:t>
            </w:r>
          </w:p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（元）</w:t>
            </w:r>
          </w:p>
        </w:tc>
        <w:tc>
          <w:tcPr>
            <w:tcW w:w="67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序号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材料名称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单位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原价（供应价）</w:t>
            </w:r>
          </w:p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1"/>
                <w:szCs w:val="21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原木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87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1070</w:t>
            </w:r>
          </w:p>
        </w:tc>
        <w:tc>
          <w:tcPr>
            <w:tcW w:w="67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中（粗）砂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32.5级水泥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t</w:t>
            </w:r>
          </w:p>
        </w:tc>
        <w:tc>
          <w:tcPr>
            <w:tcW w:w="187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430</w:t>
            </w:r>
          </w:p>
        </w:tc>
        <w:tc>
          <w:tcPr>
            <w:tcW w:w="67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砂砾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m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superscript"/>
              </w:rPr>
              <w:t>3</w:t>
            </w:r>
          </w:p>
        </w:tc>
        <w:tc>
          <w:tcPr>
            <w:tcW w:w="1716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1446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42.5级水泥</w:t>
            </w: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ind w:firstLine="0" w:firstLineChars="0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t</w:t>
            </w:r>
          </w:p>
        </w:tc>
        <w:tc>
          <w:tcPr>
            <w:tcW w:w="1872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440</w:t>
            </w:r>
          </w:p>
        </w:tc>
        <w:tc>
          <w:tcPr>
            <w:tcW w:w="678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818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  <w:tc>
          <w:tcPr>
            <w:tcW w:w="1716" w:type="dxa"/>
            <w:noWrap w:val="0"/>
            <w:vAlign w:val="center"/>
          </w:tcPr>
          <w:p>
            <w:pPr>
              <w:pStyle w:val="3"/>
              <w:ind w:firstLine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2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注：①上述材料原价不含增值税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229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②其他材料的预算价也可以直接按照定额中的单价进行计算。</w:t>
      </w:r>
    </w:p>
    <w:p>
      <w:pPr>
        <w:numPr>
          <w:ilvl w:val="0"/>
          <w:numId w:val="0"/>
        </w:numPr>
        <w:spacing w:line="300" w:lineRule="auto"/>
        <w:ind w:leftChars="0"/>
        <w:rPr>
          <w:rFonts w:hint="eastAsia"/>
          <w:b/>
          <w:lang w:val="en-US" w:eastAsia="zh-CN"/>
        </w:rPr>
      </w:pPr>
    </w:p>
    <w:p>
      <w:pPr>
        <w:numPr>
          <w:ilvl w:val="0"/>
          <w:numId w:val="0"/>
        </w:numPr>
        <w:spacing w:line="300" w:lineRule="auto"/>
        <w:ind w:leftChars="0"/>
        <w:rPr>
          <w:rFonts w:hint="eastAsia"/>
          <w:b/>
          <w:sz w:val="24"/>
          <w:szCs w:val="24"/>
        </w:rPr>
      </w:pPr>
      <w:bookmarkStart w:id="9" w:name="_GoBack"/>
      <w:r>
        <w:rPr>
          <w:rFonts w:hint="eastAsia"/>
          <w:b/>
          <w:sz w:val="24"/>
          <w:szCs w:val="24"/>
          <w:lang w:val="en-US" w:eastAsia="zh-CN"/>
        </w:rPr>
        <w:t>4、主要</w:t>
      </w:r>
      <w:r>
        <w:rPr>
          <w:rFonts w:hint="eastAsia"/>
          <w:b/>
          <w:sz w:val="24"/>
          <w:szCs w:val="24"/>
        </w:rPr>
        <w:t>工程项目及工程数量表</w:t>
      </w:r>
    </w:p>
    <w:bookmarkEnd w:id="9"/>
    <w:tbl>
      <w:tblPr>
        <w:tblStyle w:val="8"/>
        <w:tblW w:w="9061" w:type="dxa"/>
        <w:jc w:val="center"/>
        <w:tblInd w:w="0" w:type="dxa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750"/>
        <w:gridCol w:w="6285"/>
        <w:gridCol w:w="563"/>
        <w:gridCol w:w="1027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工程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项目</w:t>
            </w:r>
          </w:p>
        </w:tc>
        <w:tc>
          <w:tcPr>
            <w:tcW w:w="62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工程明细名称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路基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土方</w:t>
            </w:r>
          </w:p>
        </w:tc>
        <w:tc>
          <w:tcPr>
            <w:tcW w:w="62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普通土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其中本桩利用31800m3，远运利用66800m3，运距2km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m3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98600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硬土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其中本桩利用15000m3，远运利用39500m3，运距2km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m3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54500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路基填土 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m3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135000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路基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石方</w:t>
            </w:r>
          </w:p>
        </w:tc>
        <w:tc>
          <w:tcPr>
            <w:tcW w:w="62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开挖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次坚石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其中本桩利用12000m3，远运利用15600m3，运距2km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m3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51000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路基填石方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m3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30000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路基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防护</w:t>
            </w:r>
          </w:p>
        </w:tc>
        <w:tc>
          <w:tcPr>
            <w:tcW w:w="62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石砌挡墙基础（干砌片石、长1500m）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m3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3500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砌挡墙墙身（浆砌块石、长1500m）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m3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6200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石砌挡墙人工挖基坑（干处土方基坑深6m）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m3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50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路基零星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工程</w:t>
            </w:r>
          </w:p>
        </w:tc>
        <w:tc>
          <w:tcPr>
            <w:tcW w:w="62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耕地填前夯实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m2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175000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整修边坡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km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50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285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整修路拱</w:t>
            </w:r>
          </w:p>
        </w:tc>
        <w:tc>
          <w:tcPr>
            <w:tcW w:w="56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m2</w:t>
            </w:r>
          </w:p>
        </w:tc>
        <w:tc>
          <w:tcPr>
            <w:tcW w:w="102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85000</w:t>
            </w:r>
          </w:p>
        </w:tc>
      </w:tr>
    </w:tbl>
    <w:p>
      <w:pPr>
        <w:jc w:val="center"/>
        <w:rPr>
          <w:b/>
        </w:rPr>
      </w:pPr>
    </w:p>
    <w:sectPr>
      <w:footerReference r:id="rId3" w:type="default"/>
      <w:pgSz w:w="11906" w:h="16838"/>
      <w:pgMar w:top="2098" w:right="1587" w:bottom="209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D63814"/>
    <w:multiLevelType w:val="singleLevel"/>
    <w:tmpl w:val="28D63814"/>
    <w:lvl w:ilvl="0" w:tentative="0">
      <w:start w:val="1"/>
      <w:numFmt w:val="decimal"/>
      <w:suff w:val="nothing"/>
      <w:lvlText w:val="%1）"/>
      <w:lvlJc w:val="left"/>
    </w:lvl>
  </w:abstractNum>
  <w:abstractNum w:abstractNumId="1">
    <w:nsid w:val="54DC3422"/>
    <w:multiLevelType w:val="singleLevel"/>
    <w:tmpl w:val="54DC3422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2ZjFmOTY3MTA2ZTQzODgxMGU5ZWIzNjY4MGY5YzAifQ=="/>
  </w:docVars>
  <w:rsids>
    <w:rsidRoot w:val="293A739C"/>
    <w:rsid w:val="00010D9E"/>
    <w:rsid w:val="0012058A"/>
    <w:rsid w:val="00180B19"/>
    <w:rsid w:val="005121E5"/>
    <w:rsid w:val="005B173F"/>
    <w:rsid w:val="006969F2"/>
    <w:rsid w:val="0088452F"/>
    <w:rsid w:val="008D76A1"/>
    <w:rsid w:val="008F0DD0"/>
    <w:rsid w:val="00921EA9"/>
    <w:rsid w:val="00B140CA"/>
    <w:rsid w:val="00C172B3"/>
    <w:rsid w:val="00C72D06"/>
    <w:rsid w:val="00C90120"/>
    <w:rsid w:val="00DC16EE"/>
    <w:rsid w:val="076B5857"/>
    <w:rsid w:val="0EB65F51"/>
    <w:rsid w:val="14EF1993"/>
    <w:rsid w:val="18FD2D67"/>
    <w:rsid w:val="19FB4AB2"/>
    <w:rsid w:val="23CB16FF"/>
    <w:rsid w:val="25C54672"/>
    <w:rsid w:val="260E3B25"/>
    <w:rsid w:val="28005EAC"/>
    <w:rsid w:val="28EA1729"/>
    <w:rsid w:val="293A739C"/>
    <w:rsid w:val="2FBB1F80"/>
    <w:rsid w:val="30DE3691"/>
    <w:rsid w:val="37970CBF"/>
    <w:rsid w:val="385A46F4"/>
    <w:rsid w:val="431713D3"/>
    <w:rsid w:val="43557026"/>
    <w:rsid w:val="45D97854"/>
    <w:rsid w:val="46A737D1"/>
    <w:rsid w:val="483610DB"/>
    <w:rsid w:val="4D216904"/>
    <w:rsid w:val="521C7446"/>
    <w:rsid w:val="52AD41F8"/>
    <w:rsid w:val="5C1A2CEC"/>
    <w:rsid w:val="5FB35E69"/>
    <w:rsid w:val="612638B8"/>
    <w:rsid w:val="64F93DE6"/>
    <w:rsid w:val="721649B4"/>
    <w:rsid w:val="748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Times New Roman"/>
      <w:b/>
      <w:bCs/>
      <w:sz w:val="32"/>
      <w:szCs w:val="32"/>
      <w:lang w:val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color w:val="00000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373</Words>
  <Characters>2129</Characters>
  <Lines>17</Lines>
  <Paragraphs>4</Paragraphs>
  <TotalTime>14</TotalTime>
  <ScaleCrop>false</ScaleCrop>
  <LinksUpToDate>false</LinksUpToDate>
  <CharactersWithSpaces>2498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2023-04-22T07:59:00Z</dcterms:created>
  <dc:creator>志华</dc:creator>
  <cp:lastModifiedBy>过云斋</cp:lastModifiedBy>
  <dcterms:modified xsi:type="dcterms:W3CDTF">2023-05-22T01:42:09Z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79766D6A1D5E41F3ABE2132CA67D80AC_13</vt:lpwstr>
  </property>
</Properties>
</file>