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sz w:val="52"/>
          <w:szCs w:val="52"/>
        </w:rPr>
      </w:pPr>
    </w:p>
    <w:p>
      <w:pPr>
        <w:rPr>
          <w:rFonts w:ascii="仿宋_GB2312" w:hAnsi="仿宋_GB2312" w:eastAsia="仿宋_GB2312" w:cs="仿宋_GB2312"/>
          <w:b/>
          <w:bCs/>
          <w:sz w:val="36"/>
          <w:szCs w:val="36"/>
        </w:rPr>
      </w:pPr>
    </w:p>
    <w:p>
      <w:pPr>
        <w:jc w:val="center"/>
        <w:rPr>
          <w:rFonts w:ascii="宋体" w:hAnsi="宋体" w:eastAsia="宋体" w:cs="宋体"/>
          <w:b/>
          <w:bCs/>
          <w:sz w:val="52"/>
          <w:szCs w:val="52"/>
        </w:rPr>
      </w:pPr>
      <w:r>
        <w:rPr>
          <w:rFonts w:hint="eastAsia" w:ascii="宋体" w:hAnsi="宋体" w:eastAsia="宋体" w:cs="宋体"/>
          <w:b/>
          <w:bCs/>
          <w:sz w:val="52"/>
          <w:szCs w:val="52"/>
        </w:rPr>
        <w:t>福州港船舶靠离泊和引航或移泊</w:t>
      </w:r>
    </w:p>
    <w:p>
      <w:pPr>
        <w:jc w:val="center"/>
        <w:rPr>
          <w:rFonts w:ascii="宋体" w:hAnsi="宋体" w:eastAsia="宋体" w:cs="宋体"/>
          <w:b/>
          <w:bCs/>
          <w:sz w:val="52"/>
          <w:szCs w:val="52"/>
        </w:rPr>
      </w:pPr>
      <w:r>
        <w:rPr>
          <w:rFonts w:hint="eastAsia" w:ascii="宋体" w:hAnsi="宋体" w:eastAsia="宋体" w:cs="宋体"/>
          <w:b/>
          <w:bCs/>
          <w:sz w:val="52"/>
          <w:szCs w:val="52"/>
        </w:rPr>
        <w:t>使用拖轮配备标准</w:t>
      </w:r>
    </w:p>
    <w:p>
      <w:pPr>
        <w:jc w:val="center"/>
        <w:rPr>
          <w:rFonts w:ascii="宋体" w:hAnsi="宋体" w:eastAsia="宋体" w:cs="宋体"/>
          <w:b/>
          <w:bCs/>
          <w:sz w:val="44"/>
          <w:szCs w:val="44"/>
        </w:rPr>
      </w:pPr>
      <w:r>
        <w:rPr>
          <w:rFonts w:hint="eastAsia" w:ascii="宋体" w:hAnsi="宋体" w:eastAsia="宋体" w:cs="宋体"/>
          <w:b/>
          <w:bCs/>
          <w:sz w:val="44"/>
          <w:szCs w:val="44"/>
        </w:rPr>
        <w:t>（送审稿）</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福建省福州港口发展中心</w:t>
      </w:r>
    </w:p>
    <w:p>
      <w:pPr>
        <w:jc w:val="center"/>
        <w:rPr>
          <w:rFonts w:ascii="仿宋_GB2312" w:hAnsi="仿宋_GB2312" w:eastAsia="仿宋_GB2312" w:cs="仿宋_GB2312"/>
          <w:b/>
          <w:bCs/>
          <w:sz w:val="36"/>
          <w:szCs w:val="36"/>
        </w:rPr>
        <w:sectPr>
          <w:footerReference r:id="rId3" w:type="default"/>
          <w:pgSz w:w="11906" w:h="16838"/>
          <w:pgMar w:top="1304" w:right="1418" w:bottom="1440" w:left="1588" w:header="851" w:footer="992" w:gutter="0"/>
          <w:pgNumType w:start="1"/>
          <w:cols w:space="425" w:num="1"/>
          <w:docGrid w:type="lines" w:linePitch="312" w:charSpace="0"/>
        </w:sectPr>
      </w:pPr>
      <w:r>
        <w:rPr>
          <w:rFonts w:hint="eastAsia" w:ascii="仿宋_GB2312" w:hAnsi="仿宋_GB2312" w:eastAsia="仿宋_GB2312" w:cs="仿宋_GB2312"/>
          <w:b/>
          <w:bCs/>
          <w:sz w:val="36"/>
          <w:szCs w:val="36"/>
        </w:rPr>
        <w:t>2023年11月</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福州港船舶靠离泊和引航或移泊</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使用拖轮配备标准</w:t>
      </w:r>
    </w:p>
    <w:p>
      <w:pPr>
        <w:jc w:val="center"/>
        <w:rPr>
          <w:rFonts w:ascii="仿宋_GB2312" w:hAnsi="仿宋_GB2312" w:eastAsia="仿宋_GB2312" w:cs="仿宋_GB2312"/>
          <w:b/>
          <w:bCs/>
          <w:sz w:val="36"/>
          <w:szCs w:val="36"/>
        </w:rPr>
      </w:pP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第一条</w:t>
      </w:r>
      <w:r>
        <w:rPr>
          <w:rFonts w:ascii="仿宋" w:hAnsi="仿宋" w:eastAsia="仿宋" w:cs="仿宋_GB2312"/>
          <w:sz w:val="32"/>
          <w:szCs w:val="32"/>
        </w:rPr>
        <w:t xml:space="preserve">  为规范福州港域船舶作业拖轮的使用，更好地服务 航运业发展，根据</w:t>
      </w:r>
      <w:bookmarkStart w:id="0" w:name="_Hlk151489734"/>
      <w:r>
        <w:rPr>
          <w:rFonts w:ascii="仿宋" w:hAnsi="仿宋" w:eastAsia="仿宋" w:cs="仿宋_GB2312"/>
          <w:sz w:val="32"/>
          <w:szCs w:val="32"/>
        </w:rPr>
        <w:t>《交通运输部</w:t>
      </w:r>
      <w:r>
        <w:rPr>
          <w:rFonts w:hint="eastAsia" w:ascii="仿宋" w:hAnsi="仿宋" w:eastAsia="仿宋" w:cs="仿宋_GB2312"/>
          <w:sz w:val="32"/>
          <w:szCs w:val="32"/>
        </w:rPr>
        <w:t xml:space="preserve"> </w:t>
      </w:r>
      <w:r>
        <w:rPr>
          <w:rFonts w:ascii="仿宋" w:hAnsi="仿宋" w:eastAsia="仿宋" w:cs="仿宋_GB2312"/>
          <w:sz w:val="32"/>
          <w:szCs w:val="32"/>
        </w:rPr>
        <w:t>国家发展改革委关于</w:t>
      </w:r>
      <w:r>
        <w:rPr>
          <w:rFonts w:hint="eastAsia" w:ascii="仿宋" w:hAnsi="仿宋" w:eastAsia="仿宋" w:cs="仿宋_GB2312"/>
          <w:sz w:val="32"/>
          <w:szCs w:val="32"/>
        </w:rPr>
        <w:t>修订</w:t>
      </w:r>
      <w:r>
        <w:rPr>
          <w:rFonts w:ascii="仿宋" w:hAnsi="仿宋" w:eastAsia="仿宋" w:cs="仿宋_GB2312"/>
          <w:sz w:val="32"/>
          <w:szCs w:val="32"/>
        </w:rPr>
        <w:t>印发&lt;港口收费计费办法</w:t>
      </w:r>
      <w:r>
        <w:rPr>
          <w:rFonts w:hint="eastAsia" w:ascii="仿宋" w:hAnsi="仿宋" w:eastAsia="仿宋" w:cs="仿宋_GB2312"/>
          <w:sz w:val="32"/>
          <w:szCs w:val="32"/>
        </w:rPr>
        <w:t>&gt;</w:t>
      </w:r>
      <w:r>
        <w:rPr>
          <w:rFonts w:ascii="仿宋" w:hAnsi="仿宋" w:eastAsia="仿宋" w:cs="仿宋_GB2312"/>
          <w:sz w:val="32"/>
          <w:szCs w:val="32"/>
        </w:rPr>
        <w:t>的通知》(交水</w:t>
      </w:r>
      <w:r>
        <w:rPr>
          <w:rFonts w:hint="eastAsia" w:ascii="仿宋" w:hAnsi="仿宋" w:eastAsia="仿宋" w:cs="仿宋_GB2312"/>
          <w:sz w:val="32"/>
          <w:szCs w:val="32"/>
        </w:rPr>
        <w:t>规</w:t>
      </w:r>
      <w:r>
        <w:rPr>
          <w:rFonts w:ascii="仿宋" w:hAnsi="仿宋" w:eastAsia="仿宋" w:cs="仿宋_GB2312"/>
          <w:sz w:val="32"/>
          <w:szCs w:val="32"/>
        </w:rPr>
        <w:t>〔2019〕2号)</w:t>
      </w:r>
      <w:bookmarkEnd w:id="0"/>
      <w:r>
        <w:rPr>
          <w:rFonts w:ascii="仿宋" w:hAnsi="仿宋" w:eastAsia="仿宋" w:cs="仿宋_GB2312"/>
          <w:sz w:val="32"/>
          <w:szCs w:val="32"/>
        </w:rPr>
        <w:t>及有关规定，制订本配备标准。</w:t>
      </w: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第二条</w:t>
      </w:r>
      <w:r>
        <w:rPr>
          <w:rFonts w:ascii="仿宋" w:hAnsi="仿宋" w:eastAsia="仿宋" w:cs="仿宋_GB2312"/>
          <w:sz w:val="32"/>
          <w:szCs w:val="32"/>
        </w:rPr>
        <w:t xml:space="preserve">  在福州港域内靠泊、离泊、移泊申请引航作业配备辅助拖轮适用本配备标准。</w:t>
      </w: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 xml:space="preserve">第三条 </w:t>
      </w:r>
      <w:r>
        <w:rPr>
          <w:rFonts w:ascii="仿宋" w:hAnsi="仿宋" w:eastAsia="仿宋" w:cs="仿宋_GB2312"/>
          <w:sz w:val="32"/>
          <w:szCs w:val="32"/>
        </w:rPr>
        <w:t xml:space="preserve"> 本配备标准遵循“安全、公平、经济”原则，拖轮数量和功率配置符合《海港总体设计规范》(JTS165-2013)对拖轮配置的基本要求，区别考虑福州港各港区自然特点以及船舶操纵难度，在切实保证船舶作业的安全的同时，并充分考虑港航企业辅助拖轮使用的经济性。</w:t>
      </w: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第四条</w:t>
      </w:r>
      <w:r>
        <w:rPr>
          <w:rFonts w:ascii="仿宋" w:hAnsi="仿宋" w:eastAsia="仿宋" w:cs="仿宋_GB2312"/>
          <w:sz w:val="32"/>
          <w:szCs w:val="32"/>
        </w:rPr>
        <w:t xml:space="preserve">  根据福州港域的通航条件和靠、离泊位船舶实际操 作经验，结合国内行业标准和规范，经综合评估制定的福州港域船舶靠离泊和引航或移泊使用拖轮艘数配备标准见附表。</w:t>
      </w: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第五条</w:t>
      </w:r>
      <w:r>
        <w:rPr>
          <w:rFonts w:ascii="仿宋" w:hAnsi="仿宋" w:eastAsia="仿宋" w:cs="仿宋_GB2312"/>
          <w:sz w:val="32"/>
          <w:szCs w:val="32"/>
        </w:rPr>
        <w:t xml:space="preserve">  一般情况下以本配备标准为上限配置，作为相关计费的基本依据。</w:t>
      </w: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 xml:space="preserve">第六条 </w:t>
      </w:r>
      <w:r>
        <w:rPr>
          <w:rFonts w:ascii="仿宋" w:hAnsi="仿宋" w:eastAsia="仿宋" w:cs="仿宋_GB2312"/>
          <w:b/>
          <w:bCs/>
          <w:sz w:val="32"/>
          <w:szCs w:val="32"/>
        </w:rPr>
        <w:t xml:space="preserve"> </w:t>
      </w:r>
      <w:r>
        <w:rPr>
          <w:rFonts w:ascii="仿宋" w:hAnsi="仿宋" w:eastAsia="仿宋" w:cs="仿宋_GB2312"/>
          <w:sz w:val="32"/>
          <w:szCs w:val="32"/>
        </w:rPr>
        <w:t>不需要引航且没有相关规定需要配备拖轮进行靠离泊和移泊的船舶，其靠离泊、移泊是否需要拖轮由船公司或其代理人自行决定。</w:t>
      </w: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第七条</w:t>
      </w:r>
      <w:r>
        <w:rPr>
          <w:rFonts w:ascii="仿宋" w:hAnsi="仿宋" w:eastAsia="仿宋" w:cs="仿宋_GB2312"/>
          <w:sz w:val="32"/>
          <w:szCs w:val="32"/>
        </w:rPr>
        <w:t xml:space="preserve">  下列情况，不适用于第四条的拖轮配备标准表，另按其他要求实施：</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一</w:t>
      </w:r>
      <w:r>
        <w:rPr>
          <w:rFonts w:ascii="仿宋" w:hAnsi="仿宋" w:eastAsia="仿宋" w:cs="仿宋_GB2312"/>
          <w:sz w:val="32"/>
          <w:szCs w:val="32"/>
        </w:rPr>
        <w:t>)  主管机关有特殊要求的；</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(二) 船方或码头方因特殊地理条件、码头结构等原因要求增配的；</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(三) 受船舶操纵性能异常、设备故障等特殊情况影响需要增加拖轮配备的；</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(四) 受恶劣的气象条件、特殊的水文条件及复杂交通流影响需要增加拖轮配备的；</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(五) 无动力船舶拖带、抢险等特殊作业；</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 xml:space="preserve">(六) </w:t>
      </w:r>
      <w:r>
        <w:rPr>
          <w:rFonts w:hint="eastAsia" w:ascii="仿宋" w:hAnsi="仿宋" w:eastAsia="仿宋" w:cs="仿宋_GB2312"/>
          <w:sz w:val="32"/>
          <w:szCs w:val="32"/>
        </w:rPr>
        <w:t>大型拖驳、桥吊船等其他类型特种</w:t>
      </w:r>
      <w:r>
        <w:rPr>
          <w:rFonts w:ascii="仿宋" w:hAnsi="仿宋" w:eastAsia="仿宋" w:cs="仿宋_GB2312"/>
          <w:sz w:val="32"/>
          <w:szCs w:val="32"/>
        </w:rPr>
        <w:t>船舶作业；</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(七) 其他出于安全考虑的特殊作业情况。</w:t>
      </w:r>
    </w:p>
    <w:p>
      <w:pPr>
        <w:spacing w:line="360" w:lineRule="auto"/>
        <w:ind w:firstLine="640" w:firstLineChars="200"/>
        <w:rPr>
          <w:rFonts w:ascii="仿宋" w:hAnsi="仿宋" w:eastAsia="仿宋" w:cs="仿宋_GB2312"/>
          <w:sz w:val="32"/>
          <w:szCs w:val="32"/>
        </w:rPr>
      </w:pPr>
      <w:r>
        <w:rPr>
          <w:rFonts w:hint="eastAsia" w:ascii="黑体" w:hAnsi="黑体" w:eastAsia="黑体" w:cs="黑体"/>
          <w:b w:val="0"/>
          <w:bCs w:val="0"/>
          <w:sz w:val="32"/>
          <w:szCs w:val="32"/>
        </w:rPr>
        <w:t>第八条</w:t>
      </w:r>
      <w:r>
        <w:rPr>
          <w:rFonts w:ascii="仿宋" w:hAnsi="仿宋" w:eastAsia="仿宋" w:cs="仿宋_GB2312"/>
          <w:sz w:val="32"/>
          <w:szCs w:val="32"/>
        </w:rPr>
        <w:t xml:space="preserve">  本标准自公布之日起实施。</w:t>
      </w:r>
    </w:p>
    <w:p>
      <w:pPr>
        <w:spacing w:line="360" w:lineRule="auto"/>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附表：</w:t>
      </w:r>
    </w:p>
    <w:p>
      <w:pPr>
        <w:spacing w:line="360" w:lineRule="auto"/>
        <w:ind w:firstLine="640" w:firstLineChars="200"/>
        <w:rPr>
          <w:rFonts w:ascii="仿宋" w:hAnsi="仿宋" w:eastAsia="仿宋" w:cs="仿宋_GB2312"/>
          <w:sz w:val="32"/>
          <w:szCs w:val="32"/>
        </w:rPr>
      </w:pPr>
      <w:bookmarkStart w:id="1" w:name="_Hlk151490022"/>
      <w:r>
        <w:rPr>
          <w:rFonts w:ascii="仿宋" w:hAnsi="仿宋" w:eastAsia="仿宋" w:cs="仿宋_GB2312"/>
          <w:sz w:val="32"/>
          <w:szCs w:val="32"/>
        </w:rPr>
        <w:t>《福州港船舶靠离泊和引航或移泊使用拖轮配备标准</w:t>
      </w:r>
      <w:r>
        <w:rPr>
          <w:rFonts w:hint="eastAsia" w:ascii="仿宋" w:hAnsi="仿宋" w:eastAsia="仿宋" w:cs="仿宋_GB2312"/>
          <w:sz w:val="32"/>
          <w:szCs w:val="32"/>
        </w:rPr>
        <w:t>表</w:t>
      </w:r>
      <w:r>
        <w:rPr>
          <w:rFonts w:ascii="仿宋" w:hAnsi="仿宋" w:eastAsia="仿宋" w:cs="仿宋_GB2312"/>
          <w:sz w:val="32"/>
          <w:szCs w:val="32"/>
        </w:rPr>
        <w:t>》</w:t>
      </w:r>
    </w:p>
    <w:bookmarkEnd w:id="1"/>
    <w:p>
      <w:pPr>
        <w:spacing w:line="520" w:lineRule="exact"/>
        <w:sectPr>
          <w:footerReference r:id="rId4" w:type="default"/>
          <w:pgSz w:w="11906" w:h="16838"/>
          <w:pgMar w:top="1349" w:right="1639" w:bottom="1440" w:left="1338" w:header="0" w:footer="907" w:gutter="0"/>
          <w:pgNumType w:start="1"/>
          <w:cols w:space="720" w:num="1"/>
          <w:docGrid w:linePitch="286" w:charSpace="0"/>
        </w:sectPr>
      </w:pPr>
    </w:p>
    <w:p>
      <w:pPr>
        <w:jc w:val="both"/>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附表</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福州港船舶靠离泊和引航或移泊使用</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拖轮配备标准表</w:t>
      </w:r>
    </w:p>
    <w:p>
      <w:pPr>
        <w:jc w:val="center"/>
        <w:rPr>
          <w:rFonts w:ascii="仿宋_GB2312" w:hAnsi="仿宋_GB2312" w:eastAsia="仿宋_GB2312" w:cs="仿宋_GB2312"/>
          <w:b/>
          <w:bCs/>
          <w:sz w:val="36"/>
          <w:szCs w:val="36"/>
        </w:rPr>
      </w:pPr>
      <w:bookmarkStart w:id="8" w:name="_GoBack"/>
      <w:bookmarkEnd w:id="8"/>
    </w:p>
    <w:p>
      <w:pPr>
        <w:jc w:val="center"/>
        <w:rPr>
          <w:rFonts w:ascii="仿宋_GB2312" w:hAnsi="仿宋_GB2312" w:eastAsia="仿宋_GB2312" w:cs="仿宋_GB2312"/>
          <w:b/>
          <w:bCs/>
          <w:sz w:val="28"/>
          <w:szCs w:val="28"/>
        </w:rPr>
      </w:pPr>
      <w:bookmarkStart w:id="2" w:name="_Hlk151491708"/>
      <w:r>
        <w:rPr>
          <w:rFonts w:hint="eastAsia" w:ascii="仿宋_GB2312" w:hAnsi="仿宋_GB2312" w:eastAsia="仿宋_GB2312" w:cs="仿宋_GB2312"/>
          <w:b/>
          <w:bCs/>
          <w:sz w:val="28"/>
          <w:szCs w:val="28"/>
        </w:rPr>
        <w:t>沙埕港区、白马港区、三都澳港区、三沙港点</w:t>
      </w:r>
    </w:p>
    <w:bookmarkEnd w:id="2"/>
    <w:tbl>
      <w:tblPr>
        <w:tblStyle w:val="6"/>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95"/>
        <w:gridCol w:w="1500"/>
        <w:gridCol w:w="1355"/>
        <w:gridCol w:w="1133"/>
        <w:gridCol w:w="992"/>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395"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船长（米）</w:t>
            </w:r>
          </w:p>
        </w:tc>
        <w:tc>
          <w:tcPr>
            <w:tcW w:w="3988"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配备艘数</w:t>
            </w:r>
          </w:p>
        </w:tc>
        <w:tc>
          <w:tcPr>
            <w:tcW w:w="99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拖轮功率（马力）</w:t>
            </w:r>
          </w:p>
        </w:tc>
        <w:tc>
          <w:tcPr>
            <w:tcW w:w="249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vAlign w:val="center"/>
          </w:tcPr>
          <w:p>
            <w:pPr>
              <w:jc w:val="center"/>
              <w:rPr>
                <w:rFonts w:ascii="仿宋_GB2312" w:hAnsi="仿宋_GB2312" w:eastAsia="仿宋_GB2312" w:cs="仿宋_GB2312"/>
                <w:szCs w:val="21"/>
              </w:rPr>
            </w:pPr>
          </w:p>
        </w:tc>
        <w:tc>
          <w:tcPr>
            <w:tcW w:w="1395" w:type="dxa"/>
            <w:vMerge w:val="continue"/>
            <w:vAlign w:val="center"/>
          </w:tcPr>
          <w:p>
            <w:pPr>
              <w:jc w:val="center"/>
              <w:rPr>
                <w:rFonts w:ascii="仿宋_GB2312" w:hAnsi="仿宋_GB2312" w:eastAsia="仿宋_GB2312" w:cs="仿宋_GB2312"/>
                <w:szCs w:val="21"/>
              </w:rPr>
            </w:pP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集装箱船、滚装船、客船</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油船、化学品船、液化气体船</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散货船、杂货船及其他</w:t>
            </w:r>
          </w:p>
        </w:tc>
        <w:tc>
          <w:tcPr>
            <w:tcW w:w="992" w:type="dxa"/>
            <w:vMerge w:val="continue"/>
            <w:vAlign w:val="center"/>
          </w:tcPr>
          <w:p>
            <w:pPr>
              <w:jc w:val="center"/>
              <w:rPr>
                <w:rFonts w:ascii="仿宋_GB2312" w:hAnsi="仿宋_GB2312" w:eastAsia="仿宋_GB2312" w:cs="仿宋_GB2312"/>
                <w:szCs w:val="21"/>
              </w:rPr>
            </w:pPr>
          </w:p>
        </w:tc>
        <w:tc>
          <w:tcPr>
            <w:tcW w:w="2494"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L≤80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249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80＜L≤120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000</w:t>
            </w:r>
          </w:p>
        </w:tc>
        <w:tc>
          <w:tcPr>
            <w:tcW w:w="249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120＜L≤150</w:t>
            </w:r>
          </w:p>
        </w:tc>
        <w:tc>
          <w:tcPr>
            <w:tcW w:w="150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94" w:type="dxa"/>
            <w:vAlign w:val="center"/>
          </w:tcPr>
          <w:p>
            <w:p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除油船、化学品船、液化气体船外，其他船舶L＜140米配备1艘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150＜L≤180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9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180＜L≤220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9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220＜L≤260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9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散货船载重吨＜10万吨配备2艘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，油船化学品船、液化气体船至少1艘≥5000马力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260＜L≤275</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9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散货船载重吨＜15.5万吨配备3艘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275＜L≤300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9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散货船载重吨＜20万吨配备4艘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300＜L≤325</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9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散货船载重吨＜25万吨配备5艘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325＜L≤350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9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散货船载重吨＜25万吨配备5艘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，至少2艘≥5000马力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39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350＜L≤390</w:t>
            </w:r>
          </w:p>
        </w:tc>
        <w:tc>
          <w:tcPr>
            <w:tcW w:w="15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9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至少3艘≥5000马力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5" w:type="dxa"/>
            <w:gridSpan w:val="7"/>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其他：按上述规定，船长达到需使用4艘及以上拖轮标准，但船舶实际载货量≤船舶载重吨5万吨，可相应减少使用1艘拖轮。</w:t>
            </w:r>
          </w:p>
        </w:tc>
      </w:tr>
    </w:tbl>
    <w:p>
      <w:pPr>
        <w:ind w:firstLine="560" w:firstLineChars="200"/>
        <w:jc w:val="left"/>
        <w:rPr>
          <w:rFonts w:ascii="仿宋_GB2312" w:hAnsi="仿宋_GB2312" w:eastAsia="仿宋_GB2312" w:cs="仿宋_GB2312"/>
          <w:sz w:val="28"/>
          <w:szCs w:val="28"/>
        </w:rPr>
      </w:pPr>
    </w:p>
    <w:p>
      <w:pPr>
        <w:numPr>
          <w:ilvl w:val="0"/>
          <w:numId w:val="1"/>
        </w:numPr>
        <w:ind w:firstLine="560" w:firstLineChars="200"/>
        <w:jc w:val="left"/>
        <w:rPr>
          <w:rFonts w:ascii="仿宋_GB2312" w:hAnsi="仿宋_GB2312" w:eastAsia="仿宋_GB2312" w:cs="仿宋_GB2312"/>
          <w:sz w:val="28"/>
          <w:szCs w:val="28"/>
        </w:rPr>
        <w:sectPr>
          <w:footerReference r:id="rId5" w:type="default"/>
          <w:pgSz w:w="11906" w:h="16838"/>
          <w:pgMar w:top="1304" w:right="1418" w:bottom="1440" w:left="1588" w:header="851" w:footer="992" w:gutter="0"/>
          <w:cols w:space="425" w:num="1"/>
          <w:docGrid w:type="lines" w:linePitch="312" w:charSpace="0"/>
        </w:sectPr>
      </w:pPr>
    </w:p>
    <w:p>
      <w:pPr>
        <w:jc w:val="center"/>
        <w:rPr>
          <w:rFonts w:ascii="仿宋_GB2312" w:hAnsi="仿宋_GB2312" w:eastAsia="仿宋_GB2312" w:cs="仿宋_GB2312"/>
          <w:b/>
          <w:bCs/>
          <w:sz w:val="28"/>
          <w:szCs w:val="28"/>
        </w:rPr>
      </w:pPr>
      <w:bookmarkStart w:id="3" w:name="_Hlk151491813"/>
      <w:r>
        <w:rPr>
          <w:rFonts w:hint="eastAsia" w:ascii="仿宋_GB2312" w:hAnsi="仿宋_GB2312" w:eastAsia="仿宋_GB2312" w:cs="仿宋_GB2312"/>
          <w:b/>
          <w:bCs/>
          <w:sz w:val="28"/>
          <w:szCs w:val="28"/>
        </w:rPr>
        <w:t>罗源湾港区</w:t>
      </w:r>
    </w:p>
    <w:bookmarkEnd w:id="3"/>
    <w:tbl>
      <w:tblPr>
        <w:tblStyle w:val="6"/>
        <w:tblpPr w:leftFromText="180" w:rightFromText="180" w:vertAnchor="text" w:horzAnchor="page" w:tblpXSpec="center" w:tblpY="157"/>
        <w:tblOverlap w:val="never"/>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3"/>
        <w:gridCol w:w="1393"/>
        <w:gridCol w:w="1304"/>
        <w:gridCol w:w="1133"/>
        <w:gridCol w:w="992"/>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船长（米）</w:t>
            </w:r>
          </w:p>
        </w:tc>
        <w:tc>
          <w:tcPr>
            <w:tcW w:w="3830"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配备艘数</w:t>
            </w:r>
          </w:p>
        </w:tc>
        <w:tc>
          <w:tcPr>
            <w:tcW w:w="99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拖轮功率（马力）</w:t>
            </w:r>
          </w:p>
        </w:tc>
        <w:tc>
          <w:tcPr>
            <w:tcW w:w="242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仿宋_GB2312" w:hAnsi="仿宋_GB2312" w:eastAsia="仿宋_GB2312" w:cs="仿宋_GB2312"/>
                <w:szCs w:val="21"/>
              </w:rPr>
            </w:pPr>
          </w:p>
        </w:tc>
        <w:tc>
          <w:tcPr>
            <w:tcW w:w="1553" w:type="dxa"/>
            <w:vMerge w:val="continue"/>
            <w:vAlign w:val="center"/>
          </w:tcPr>
          <w:p>
            <w:pPr>
              <w:jc w:val="center"/>
              <w:rPr>
                <w:rFonts w:ascii="仿宋_GB2312" w:hAnsi="仿宋_GB2312" w:eastAsia="仿宋_GB2312" w:cs="仿宋_GB2312"/>
                <w:szCs w:val="21"/>
              </w:rPr>
            </w:pP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集装箱船、滚装船、客船</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油船、化学品船、液化气体船</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散货船、杂货船及其他</w:t>
            </w:r>
          </w:p>
        </w:tc>
        <w:tc>
          <w:tcPr>
            <w:tcW w:w="992" w:type="dxa"/>
            <w:vMerge w:val="continue"/>
            <w:vAlign w:val="center"/>
          </w:tcPr>
          <w:p>
            <w:pPr>
              <w:jc w:val="center"/>
              <w:rPr>
                <w:rFonts w:ascii="仿宋_GB2312" w:hAnsi="仿宋_GB2312" w:eastAsia="仿宋_GB2312" w:cs="仿宋_GB2312"/>
                <w:szCs w:val="21"/>
              </w:rPr>
            </w:pPr>
          </w:p>
        </w:tc>
        <w:tc>
          <w:tcPr>
            <w:tcW w:w="2427"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L≤80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242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80＜L≤120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242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120＜L≤150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散货船、杂货船及其他载重吨＜2万吨配备1艘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150＜L≤180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散货船、杂货船及其他载重吨＜2万吨配备1艘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180＜L≤220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2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220＜L≤260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散货船载重吨＜10万吨配备2艘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260＜L≤275</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散货船载重吨＜15.5万吨配备3艘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275＜L≤300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散货船载重吨＜20万吨配备4艘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300＜L≤325</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散货船载重吨＜25万吨配备5艘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325＜L≤350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散货船载重吨＜25万吨配备5艘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，至少2艘≥5000马力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5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350＜L≤390</w:t>
            </w:r>
          </w:p>
        </w:tc>
        <w:tc>
          <w:tcPr>
            <w:tcW w:w="139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3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42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至少3艘≥5000马力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8" w:type="dxa"/>
            <w:gridSpan w:val="7"/>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其他：按上述规定，船长达到需使用4艘及以上拖轮标准，但船舶实际载货量≤船舶载重吨5万吨，可相应减少使用1艘拖轮。</w:t>
            </w:r>
          </w:p>
        </w:tc>
      </w:tr>
    </w:tbl>
    <w:p>
      <w:pPr>
        <w:spacing w:line="276"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闽江口内港区</w:t>
      </w:r>
    </w:p>
    <w:tbl>
      <w:tblPr>
        <w:tblStyle w:val="6"/>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547"/>
        <w:gridCol w:w="1429"/>
        <w:gridCol w:w="1276"/>
        <w:gridCol w:w="1134"/>
        <w:gridCol w:w="992"/>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4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船长（米）</w:t>
            </w:r>
          </w:p>
        </w:tc>
        <w:tc>
          <w:tcPr>
            <w:tcW w:w="3839"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配备艘数</w:t>
            </w:r>
          </w:p>
        </w:tc>
        <w:tc>
          <w:tcPr>
            <w:tcW w:w="99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拖轮功率（马力）</w:t>
            </w:r>
          </w:p>
        </w:tc>
        <w:tc>
          <w:tcPr>
            <w:tcW w:w="235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21" w:type="dxa"/>
            <w:vMerge w:val="continue"/>
            <w:vAlign w:val="center"/>
          </w:tcPr>
          <w:p>
            <w:pPr>
              <w:jc w:val="center"/>
              <w:rPr>
                <w:rFonts w:ascii="仿宋_GB2312" w:hAnsi="仿宋_GB2312" w:eastAsia="仿宋_GB2312" w:cs="仿宋_GB2312"/>
                <w:szCs w:val="21"/>
              </w:rPr>
            </w:pPr>
          </w:p>
        </w:tc>
        <w:tc>
          <w:tcPr>
            <w:tcW w:w="1547" w:type="dxa"/>
            <w:vMerge w:val="continue"/>
            <w:vAlign w:val="center"/>
          </w:tcPr>
          <w:p>
            <w:pPr>
              <w:jc w:val="center"/>
              <w:rPr>
                <w:rFonts w:ascii="仿宋_GB2312" w:hAnsi="仿宋_GB2312" w:eastAsia="仿宋_GB2312" w:cs="仿宋_GB2312"/>
                <w:szCs w:val="21"/>
              </w:rPr>
            </w:pPr>
          </w:p>
        </w:tc>
        <w:tc>
          <w:tcPr>
            <w:tcW w:w="142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集装箱船、滚装船、客船</w:t>
            </w:r>
          </w:p>
        </w:tc>
        <w:tc>
          <w:tcPr>
            <w:tcW w:w="127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油船、化学品船、液化气体船</w:t>
            </w:r>
          </w:p>
        </w:tc>
        <w:tc>
          <w:tcPr>
            <w:tcW w:w="11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散货船、杂货船及其他</w:t>
            </w:r>
          </w:p>
        </w:tc>
        <w:tc>
          <w:tcPr>
            <w:tcW w:w="992" w:type="dxa"/>
            <w:vMerge w:val="continue"/>
            <w:vAlign w:val="center"/>
          </w:tcPr>
          <w:p>
            <w:pPr>
              <w:jc w:val="center"/>
              <w:rPr>
                <w:rFonts w:ascii="仿宋_GB2312" w:hAnsi="仿宋_GB2312" w:eastAsia="仿宋_GB2312" w:cs="仿宋_GB2312"/>
                <w:szCs w:val="21"/>
              </w:rPr>
            </w:pPr>
          </w:p>
        </w:tc>
        <w:tc>
          <w:tcPr>
            <w:tcW w:w="2357"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L≤80</w:t>
            </w:r>
          </w:p>
        </w:tc>
        <w:tc>
          <w:tcPr>
            <w:tcW w:w="142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127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235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80＜L≤120</w:t>
            </w:r>
          </w:p>
        </w:tc>
        <w:tc>
          <w:tcPr>
            <w:tcW w:w="142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27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000</w:t>
            </w:r>
          </w:p>
        </w:tc>
        <w:tc>
          <w:tcPr>
            <w:tcW w:w="235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120＜L≤150</w:t>
            </w:r>
          </w:p>
        </w:tc>
        <w:tc>
          <w:tcPr>
            <w:tcW w:w="1429"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w:t>
            </w:r>
          </w:p>
        </w:tc>
        <w:tc>
          <w:tcPr>
            <w:tcW w:w="127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35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除油船、化学品船、液化气体船外，其他船舶L＜140米配备1艘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5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150＜L≤180</w:t>
            </w:r>
          </w:p>
        </w:tc>
        <w:tc>
          <w:tcPr>
            <w:tcW w:w="142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35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5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180＜L≤220</w:t>
            </w:r>
          </w:p>
        </w:tc>
        <w:tc>
          <w:tcPr>
            <w:tcW w:w="142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357" w:type="dxa"/>
            <w:vAlign w:val="center"/>
          </w:tcPr>
          <w:p>
            <w:pPr>
              <w:jc w:val="center"/>
              <w:rPr>
                <w:rFonts w:ascii="仿宋_GB2312" w:hAnsi="仿宋_GB2312" w:eastAsia="仿宋_GB2312" w:cs="仿宋_GB2312"/>
                <w:szCs w:val="21"/>
              </w:rPr>
            </w:pPr>
          </w:p>
        </w:tc>
      </w:tr>
    </w:tbl>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松下港区、平潭港区</w:t>
      </w:r>
    </w:p>
    <w:tbl>
      <w:tblPr>
        <w:tblStyle w:val="6"/>
        <w:tblpPr w:leftFromText="180" w:rightFromText="180" w:vertAnchor="text" w:horzAnchor="page" w:tblpX="1578" w:tblpY="33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462"/>
        <w:gridCol w:w="1447"/>
        <w:gridCol w:w="1466"/>
        <w:gridCol w:w="1167"/>
        <w:gridCol w:w="96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33" w:type="dxa"/>
            <w:vMerge w:val="restart"/>
            <w:vAlign w:val="center"/>
          </w:tcPr>
          <w:p>
            <w:pPr>
              <w:jc w:val="center"/>
              <w:rPr>
                <w:rFonts w:ascii="仿宋_GB2312" w:hAnsi="仿宋_GB2312" w:eastAsia="仿宋_GB2312" w:cs="仿宋_GB2312"/>
                <w:szCs w:val="21"/>
              </w:rPr>
            </w:pPr>
            <w:bookmarkStart w:id="4" w:name="_Hlk151492061"/>
            <w:r>
              <w:rPr>
                <w:rFonts w:hint="eastAsia" w:ascii="仿宋_GB2312" w:hAnsi="仿宋_GB2312" w:eastAsia="仿宋_GB2312" w:cs="仿宋_GB2312"/>
                <w:szCs w:val="21"/>
              </w:rPr>
              <w:t>序号</w:t>
            </w:r>
          </w:p>
        </w:tc>
        <w:tc>
          <w:tcPr>
            <w:tcW w:w="146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船长（米）</w:t>
            </w:r>
          </w:p>
        </w:tc>
        <w:tc>
          <w:tcPr>
            <w:tcW w:w="4080"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配备艘数</w:t>
            </w:r>
          </w:p>
        </w:tc>
        <w:tc>
          <w:tcPr>
            <w:tcW w:w="96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拖轮功率（马力）</w:t>
            </w:r>
          </w:p>
        </w:tc>
        <w:tc>
          <w:tcPr>
            <w:tcW w:w="1985"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33" w:type="dxa"/>
            <w:vMerge w:val="continue"/>
            <w:vAlign w:val="center"/>
          </w:tcPr>
          <w:p>
            <w:pPr>
              <w:jc w:val="center"/>
              <w:rPr>
                <w:rFonts w:ascii="仿宋_GB2312" w:hAnsi="仿宋_GB2312" w:eastAsia="仿宋_GB2312" w:cs="仿宋_GB2312"/>
                <w:szCs w:val="21"/>
              </w:rPr>
            </w:pPr>
          </w:p>
        </w:tc>
        <w:tc>
          <w:tcPr>
            <w:tcW w:w="1462" w:type="dxa"/>
            <w:vMerge w:val="continue"/>
            <w:vAlign w:val="center"/>
          </w:tcPr>
          <w:p>
            <w:pPr>
              <w:jc w:val="center"/>
              <w:rPr>
                <w:rFonts w:ascii="仿宋_GB2312" w:hAnsi="仿宋_GB2312" w:eastAsia="仿宋_GB2312" w:cs="仿宋_GB2312"/>
                <w:szCs w:val="21"/>
              </w:rPr>
            </w:pP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集装箱船、滚装船、客船</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油船、化学品船、液化气体船</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散货船、杂货船及其他</w:t>
            </w:r>
          </w:p>
        </w:tc>
        <w:tc>
          <w:tcPr>
            <w:tcW w:w="966" w:type="dxa"/>
            <w:vMerge w:val="continue"/>
            <w:vAlign w:val="center"/>
          </w:tcPr>
          <w:p>
            <w:pPr>
              <w:jc w:val="center"/>
              <w:rPr>
                <w:rFonts w:ascii="仿宋_GB2312" w:hAnsi="仿宋_GB2312" w:eastAsia="仿宋_GB2312" w:cs="仿宋_GB2312"/>
                <w:szCs w:val="21"/>
              </w:rPr>
            </w:pPr>
          </w:p>
        </w:tc>
        <w:tc>
          <w:tcPr>
            <w:tcW w:w="1985"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L≤80</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985"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80＜L≤120</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985"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120＜L≤150</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98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散、杂货船及其他船舶 L＜140米配备1艘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，但散货船载重吨≥1.5万吨配备2艘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150＜L≤180</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985"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180＜L≤220</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985"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220＜L≤260</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98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散、杂货船及其他船舶L≤225米配备2艘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260＜L≤275</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98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275＜L≤300</w:t>
            </w:r>
          </w:p>
        </w:tc>
        <w:tc>
          <w:tcPr>
            <w:tcW w:w="144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98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46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300＜L≤325</w:t>
            </w:r>
          </w:p>
        </w:tc>
        <w:tc>
          <w:tcPr>
            <w:tcW w:w="1447"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4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98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至少2艘≥5000马力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926" w:type="dxa"/>
            <w:gridSpan w:val="7"/>
            <w:vAlign w:val="center"/>
          </w:tcPr>
          <w:p>
            <w:pPr>
              <w:jc w:val="left"/>
              <w:rPr>
                <w:rFonts w:ascii="仿宋_GB2312" w:hAnsi="仿宋_GB2312" w:eastAsia="仿宋_GB2312" w:cs="仿宋_GB2312"/>
                <w:strike/>
                <w:szCs w:val="21"/>
              </w:rPr>
            </w:pPr>
            <w:r>
              <w:rPr>
                <w:rFonts w:hint="eastAsia" w:ascii="仿宋_GB2312" w:hAnsi="仿宋_GB2312" w:eastAsia="仿宋_GB2312" w:cs="仿宋_GB2312"/>
                <w:szCs w:val="21"/>
              </w:rPr>
              <w:t>其他：按上述规定，L＜235米且需配备3艘拖轮标准，但船舶实际载货量≤船舶载重吨3万吨，可相应减少1艘拖轮；船长达到需配备4艘拖轮标准，但船舶实际载货量≤船舶载重吨5万吨，可相应减少配备1艘拖轮。</w:t>
            </w:r>
          </w:p>
        </w:tc>
      </w:tr>
      <w:bookmarkEnd w:id="4"/>
    </w:tbl>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rPr>
          <w:rFonts w:ascii="仿宋_GB2312" w:hAnsi="仿宋_GB2312" w:eastAsia="仿宋_GB2312" w:cs="仿宋_GB2312"/>
          <w:b/>
          <w:bCs/>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江阴港区</w:t>
      </w:r>
    </w:p>
    <w:tbl>
      <w:tblPr>
        <w:tblStyle w:val="6"/>
        <w:tblpPr w:leftFromText="180" w:rightFromText="180" w:vertAnchor="page" w:horzAnchor="margin" w:tblpXSpec="center" w:tblpY="2101"/>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80"/>
        <w:gridCol w:w="1457"/>
        <w:gridCol w:w="1413"/>
        <w:gridCol w:w="1133"/>
        <w:gridCol w:w="992"/>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38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船长（米）</w:t>
            </w:r>
          </w:p>
        </w:tc>
        <w:tc>
          <w:tcPr>
            <w:tcW w:w="4003"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配备艘数</w:t>
            </w:r>
          </w:p>
        </w:tc>
        <w:tc>
          <w:tcPr>
            <w:tcW w:w="99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拖轮功率（马力）</w:t>
            </w:r>
          </w:p>
        </w:tc>
        <w:tc>
          <w:tcPr>
            <w:tcW w:w="222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仿宋_GB2312" w:hAnsi="仿宋_GB2312" w:eastAsia="仿宋_GB2312" w:cs="仿宋_GB2312"/>
                <w:szCs w:val="21"/>
              </w:rPr>
            </w:pPr>
          </w:p>
        </w:tc>
        <w:tc>
          <w:tcPr>
            <w:tcW w:w="1380" w:type="dxa"/>
            <w:vMerge w:val="continue"/>
            <w:vAlign w:val="center"/>
          </w:tcPr>
          <w:p>
            <w:pPr>
              <w:jc w:val="center"/>
              <w:rPr>
                <w:rFonts w:ascii="仿宋_GB2312" w:hAnsi="仿宋_GB2312" w:eastAsia="仿宋_GB2312" w:cs="仿宋_GB2312"/>
                <w:szCs w:val="21"/>
              </w:rPr>
            </w:pP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集装箱船、滚装船、客船</w:t>
            </w:r>
          </w:p>
        </w:tc>
        <w:tc>
          <w:tcPr>
            <w:tcW w:w="1413" w:type="dxa"/>
            <w:vAlign w:val="center"/>
          </w:tcPr>
          <w:p>
            <w:pPr>
              <w:jc w:val="center"/>
              <w:rPr>
                <w:rFonts w:ascii="仿宋_GB2312" w:hAnsi="仿宋_GB2312" w:eastAsia="仿宋_GB2312" w:cs="仿宋_GB2312"/>
                <w:szCs w:val="21"/>
              </w:rPr>
            </w:pPr>
            <w:bookmarkStart w:id="5" w:name="_Hlk151493465"/>
            <w:r>
              <w:rPr>
                <w:rFonts w:hint="eastAsia" w:ascii="仿宋_GB2312" w:hAnsi="仿宋_GB2312" w:eastAsia="仿宋_GB2312" w:cs="仿宋_GB2312"/>
                <w:szCs w:val="21"/>
              </w:rPr>
              <w:t>油船、化学品船、液化气体船</w:t>
            </w:r>
            <w:bookmarkEnd w:id="5"/>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散货船、杂货船及其他</w:t>
            </w:r>
          </w:p>
        </w:tc>
        <w:tc>
          <w:tcPr>
            <w:tcW w:w="992" w:type="dxa"/>
            <w:vMerge w:val="continue"/>
            <w:vAlign w:val="center"/>
          </w:tcPr>
          <w:p>
            <w:pPr>
              <w:jc w:val="center"/>
              <w:rPr>
                <w:rFonts w:ascii="仿宋_GB2312" w:hAnsi="仿宋_GB2312" w:eastAsia="仿宋_GB2312" w:cs="仿宋_GB2312"/>
                <w:szCs w:val="21"/>
              </w:rPr>
            </w:pPr>
          </w:p>
        </w:tc>
        <w:tc>
          <w:tcPr>
            <w:tcW w:w="2224"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L≤80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222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80＜L≤120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224" w:type="dxa"/>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120＜L≤150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22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除油船、化学品船、液化气体船外， L＜130米配备1艘</w:t>
            </w:r>
            <w:r>
              <w:rPr>
                <w:rFonts w:hint="eastAsia" w:ascii="仿宋_GB2312" w:hAnsi="仿宋_GB2312" w:eastAsia="仿宋_GB2312" w:cs="仿宋_GB2312"/>
                <w:szCs w:val="21"/>
                <w:lang w:eastAsia="zh-CN"/>
              </w:rPr>
              <w:t>拖轮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150＜L≤180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22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180＜L≤220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2224" w:type="dxa"/>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220＜L≤260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22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散货船、杂货船及其他船舶 L≤225米配备2艘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；油船化学品船、液化气体船至少1艘≥5000马力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380" w:type="dxa"/>
            <w:vAlign w:val="center"/>
          </w:tcPr>
          <w:p>
            <w:pPr>
              <w:jc w:val="center"/>
              <w:rPr>
                <w:rFonts w:ascii="仿宋_GB2312" w:hAnsi="仿宋_GB2312" w:eastAsia="仿宋_GB2312" w:cs="仿宋_GB2312"/>
                <w:szCs w:val="21"/>
              </w:rPr>
            </w:pPr>
            <w:bookmarkStart w:id="6" w:name="_Hlk151493970"/>
            <w:r>
              <w:rPr>
                <w:rFonts w:hint="eastAsia" w:ascii="仿宋_GB2312" w:hAnsi="仿宋_GB2312" w:eastAsia="仿宋_GB2312" w:cs="仿宋_GB2312"/>
                <w:szCs w:val="21"/>
              </w:rPr>
              <w:t>260＜L≤275</w:t>
            </w:r>
            <w:bookmarkEnd w:id="6"/>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000</w:t>
            </w:r>
          </w:p>
        </w:tc>
        <w:tc>
          <w:tcPr>
            <w:tcW w:w="2224" w:type="dxa"/>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275＜L≤300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22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油船、化学品船、液化气体船至少1艘≥5000马力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300＜L≤325</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22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油船、化学品船、液化气体船至少1艘≥5000马力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325＜L≤350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22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集装箱船、滚装船、客船至少1艘≥5000马力；油船、化学品船、液化气体船至少2艘≥5000马力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350＜L≤390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22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集装箱船、滚装船、客船 L＜370米配备3艘</w:t>
            </w:r>
            <w:r>
              <w:rPr>
                <w:rFonts w:hint="eastAsia" w:ascii="仿宋_GB2312" w:hAnsi="仿宋_GB2312" w:eastAsia="仿宋_GB2312" w:cs="仿宋_GB2312"/>
                <w:szCs w:val="21"/>
                <w:lang w:eastAsia="zh-CN"/>
              </w:rPr>
              <w:t>拖轮</w:t>
            </w:r>
            <w:r>
              <w:rPr>
                <w:rFonts w:hint="eastAsia" w:ascii="仿宋_GB2312" w:hAnsi="仿宋_GB2312" w:eastAsia="仿宋_GB2312" w:cs="仿宋_GB2312"/>
                <w:szCs w:val="21"/>
              </w:rPr>
              <w:t>，至少1艘≥5000马力， L≥370米至少2艘≥5000马力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3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L＞390</w:t>
            </w:r>
          </w:p>
        </w:tc>
        <w:tc>
          <w:tcPr>
            <w:tcW w:w="145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41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222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至少2艘≥5000马力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5" w:type="dxa"/>
            <w:gridSpan w:val="7"/>
            <w:vAlign w:val="center"/>
          </w:tcPr>
          <w:p>
            <w:pPr>
              <w:jc w:val="left"/>
              <w:rPr>
                <w:rFonts w:ascii="仿宋_GB2312" w:hAnsi="仿宋_GB2312" w:eastAsia="仿宋_GB2312" w:cs="仿宋_GB2312"/>
                <w:szCs w:val="21"/>
              </w:rPr>
            </w:pPr>
            <w:bookmarkStart w:id="7" w:name="_Hlk151493630"/>
            <w:r>
              <w:rPr>
                <w:rFonts w:hint="eastAsia" w:ascii="仿宋_GB2312" w:hAnsi="仿宋_GB2312" w:eastAsia="仿宋_GB2312" w:cs="仿宋_GB2312"/>
                <w:szCs w:val="21"/>
              </w:rPr>
              <w:t>其他：按上述规定，散货船、杂货船及其他L＜235米且需配备3艘拖轮标准，但船舶实际载货量≤船舶载重吨3万吨，可相应减少1艘拖轮。</w:t>
            </w:r>
            <w:bookmarkEnd w:id="7"/>
          </w:p>
        </w:tc>
      </w:tr>
    </w:tbl>
    <w:p>
      <w:pPr>
        <w:spacing w:line="480" w:lineRule="exact"/>
        <w:ind w:firstLine="560" w:firstLineChars="200"/>
        <w:jc w:val="left"/>
        <w:rPr>
          <w:rFonts w:ascii="仿宋_GB2312" w:hAnsi="仿宋_GB2312" w:eastAsia="仿宋_GB2312" w:cs="仿宋_GB2312"/>
          <w:sz w:val="28"/>
          <w:szCs w:val="28"/>
        </w:rPr>
      </w:pPr>
    </w:p>
    <w:p>
      <w:pPr>
        <w:spacing w:line="480" w:lineRule="exact"/>
        <w:ind w:firstLine="560" w:firstLineChars="200"/>
        <w:jc w:val="left"/>
        <w:rPr>
          <w:rFonts w:ascii="仿宋_GB2312" w:hAnsi="仿宋_GB2312" w:eastAsia="仿宋_GB2312" w:cs="仿宋_GB2312"/>
          <w:sz w:val="28"/>
          <w:szCs w:val="28"/>
        </w:rPr>
      </w:pPr>
    </w:p>
    <w:p>
      <w:pPr>
        <w:spacing w:line="480" w:lineRule="exact"/>
        <w:ind w:firstLine="560" w:firstLineChars="200"/>
        <w:jc w:val="left"/>
        <w:rPr>
          <w:rFonts w:ascii="仿宋_GB2312" w:hAnsi="仿宋_GB2312" w:eastAsia="仿宋_GB2312" w:cs="仿宋_GB2312"/>
          <w:sz w:val="28"/>
          <w:szCs w:val="28"/>
        </w:rPr>
      </w:pPr>
    </w:p>
    <w:p>
      <w:pPr>
        <w:spacing w:line="4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spacing w:line="4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1.本规定中的船长为船舶总长，拖轮需向港口部门备案并取得生产经营资质。</w:t>
      </w:r>
    </w:p>
    <w:p>
      <w:pPr>
        <w:spacing w:line="4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2.如遇自然条件特殊，配备拖轮功率达不到要求的，可适当调整增加协助拖轮配备。</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3.对部分码头、船舶有特殊规定或要求的，可适当调整增加协助拖轮配备。</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4.对部分船舶结构特殊，操纵性能良好的船舶，可适当调整减少协助拖轮配备。</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5.为保障部分特殊船舶进出港航行安全，应根据港口条件和船舶情况，可配备适量拖轮进行安全生产护航。</w:t>
      </w:r>
    </w:p>
    <w:p>
      <w:pPr>
        <w:spacing w:line="480" w:lineRule="exact"/>
        <w:ind w:firstLine="640" w:firstLineChars="200"/>
        <w:rPr>
          <w:rFonts w:ascii="仿宋_GB2312" w:hAnsi="仿宋_GB2312" w:eastAsia="仿宋_GB2312" w:cs="仿宋_GB2312"/>
          <w:sz w:val="32"/>
          <w:szCs w:val="32"/>
        </w:rPr>
      </w:pPr>
    </w:p>
    <w:p>
      <w:pPr>
        <w:rPr>
          <w:rFonts w:ascii="仿宋_GB2312" w:hAnsi="仿宋_GB2312" w:eastAsia="仿宋_GB2312" w:cs="仿宋_GB2312"/>
          <w:sz w:val="28"/>
          <w:szCs w:val="28"/>
        </w:rPr>
      </w:pPr>
    </w:p>
    <w:sectPr>
      <w:footerReference r:id="rId6" w:type="default"/>
      <w:pgSz w:w="11906" w:h="16838"/>
      <w:pgMar w:top="1134"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汉仪书宋二简">
    <w:panose1 w:val="02010600000101010101"/>
    <w:charset w:val="86"/>
    <w:family w:val="auto"/>
    <w:pitch w:val="default"/>
    <w:sig w:usb0="00000001" w:usb1="080E0800" w:usb2="00000002" w:usb3="00000000" w:csb0="00040000" w:csb1="00000000"/>
  </w:font>
  <w:font w:name="文鼎特粗宋简">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93118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A4DBF"/>
    <w:multiLevelType w:val="singleLevel"/>
    <w:tmpl w:val="C5EA4DB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lNGJmZmY4YWFhODFlMTc2ZWZkNmQxY2IxNWVhY2YifQ=="/>
  </w:docVars>
  <w:rsids>
    <w:rsidRoot w:val="00A724CD"/>
    <w:rsid w:val="0000031B"/>
    <w:rsid w:val="00003118"/>
    <w:rsid w:val="00012698"/>
    <w:rsid w:val="00045A3C"/>
    <w:rsid w:val="000557BC"/>
    <w:rsid w:val="00061586"/>
    <w:rsid w:val="000A4427"/>
    <w:rsid w:val="000D5240"/>
    <w:rsid w:val="000E4E1C"/>
    <w:rsid w:val="0012717E"/>
    <w:rsid w:val="001339D6"/>
    <w:rsid w:val="001374AC"/>
    <w:rsid w:val="00151CCE"/>
    <w:rsid w:val="0015286F"/>
    <w:rsid w:val="00182433"/>
    <w:rsid w:val="001856CD"/>
    <w:rsid w:val="00197C6F"/>
    <w:rsid w:val="001A3504"/>
    <w:rsid w:val="001C186A"/>
    <w:rsid w:val="001D36D0"/>
    <w:rsid w:val="00222CC1"/>
    <w:rsid w:val="002450D3"/>
    <w:rsid w:val="002A209E"/>
    <w:rsid w:val="002A2868"/>
    <w:rsid w:val="002B081F"/>
    <w:rsid w:val="002B3ACD"/>
    <w:rsid w:val="002D61A8"/>
    <w:rsid w:val="003139F1"/>
    <w:rsid w:val="00336C86"/>
    <w:rsid w:val="003447F8"/>
    <w:rsid w:val="003A78D8"/>
    <w:rsid w:val="003A7E83"/>
    <w:rsid w:val="003E3A5C"/>
    <w:rsid w:val="003F6288"/>
    <w:rsid w:val="003F7B84"/>
    <w:rsid w:val="004266A2"/>
    <w:rsid w:val="004313C8"/>
    <w:rsid w:val="00436FD4"/>
    <w:rsid w:val="004568F7"/>
    <w:rsid w:val="004954DA"/>
    <w:rsid w:val="004B0E90"/>
    <w:rsid w:val="004B6E30"/>
    <w:rsid w:val="004C4813"/>
    <w:rsid w:val="00502775"/>
    <w:rsid w:val="0050288C"/>
    <w:rsid w:val="005053DF"/>
    <w:rsid w:val="00531863"/>
    <w:rsid w:val="0057183A"/>
    <w:rsid w:val="005867CD"/>
    <w:rsid w:val="0059084D"/>
    <w:rsid w:val="005B4DCE"/>
    <w:rsid w:val="005F6F2C"/>
    <w:rsid w:val="00617864"/>
    <w:rsid w:val="006A3FC1"/>
    <w:rsid w:val="006C0044"/>
    <w:rsid w:val="006E4EEE"/>
    <w:rsid w:val="006F33E8"/>
    <w:rsid w:val="00710963"/>
    <w:rsid w:val="00720F01"/>
    <w:rsid w:val="0072238C"/>
    <w:rsid w:val="00742A40"/>
    <w:rsid w:val="00751665"/>
    <w:rsid w:val="007835D4"/>
    <w:rsid w:val="00795AC9"/>
    <w:rsid w:val="007A5146"/>
    <w:rsid w:val="007B392A"/>
    <w:rsid w:val="007C16DB"/>
    <w:rsid w:val="0082159B"/>
    <w:rsid w:val="008278D6"/>
    <w:rsid w:val="00844F1E"/>
    <w:rsid w:val="00863C66"/>
    <w:rsid w:val="00864E18"/>
    <w:rsid w:val="00874DD4"/>
    <w:rsid w:val="00895E99"/>
    <w:rsid w:val="008B606D"/>
    <w:rsid w:val="008C26EF"/>
    <w:rsid w:val="009304E7"/>
    <w:rsid w:val="00974F9B"/>
    <w:rsid w:val="00983360"/>
    <w:rsid w:val="009B2871"/>
    <w:rsid w:val="009B7370"/>
    <w:rsid w:val="009F3564"/>
    <w:rsid w:val="00A04144"/>
    <w:rsid w:val="00A10D55"/>
    <w:rsid w:val="00A13944"/>
    <w:rsid w:val="00A16341"/>
    <w:rsid w:val="00A32C82"/>
    <w:rsid w:val="00A36C5A"/>
    <w:rsid w:val="00A53380"/>
    <w:rsid w:val="00A708B1"/>
    <w:rsid w:val="00A724CD"/>
    <w:rsid w:val="00A76743"/>
    <w:rsid w:val="00A96F6C"/>
    <w:rsid w:val="00AD4CD0"/>
    <w:rsid w:val="00AE3583"/>
    <w:rsid w:val="00AE515A"/>
    <w:rsid w:val="00AF76F6"/>
    <w:rsid w:val="00B02211"/>
    <w:rsid w:val="00B034BF"/>
    <w:rsid w:val="00B137D6"/>
    <w:rsid w:val="00B457D8"/>
    <w:rsid w:val="00B45F52"/>
    <w:rsid w:val="00B52969"/>
    <w:rsid w:val="00B71040"/>
    <w:rsid w:val="00B8773F"/>
    <w:rsid w:val="00B956B7"/>
    <w:rsid w:val="00BA2EB7"/>
    <w:rsid w:val="00BB0F71"/>
    <w:rsid w:val="00BC2086"/>
    <w:rsid w:val="00BD7DAF"/>
    <w:rsid w:val="00BF3A62"/>
    <w:rsid w:val="00C265DC"/>
    <w:rsid w:val="00C53F15"/>
    <w:rsid w:val="00C77F07"/>
    <w:rsid w:val="00CB757D"/>
    <w:rsid w:val="00CE341B"/>
    <w:rsid w:val="00CE4A2C"/>
    <w:rsid w:val="00D05E26"/>
    <w:rsid w:val="00D07E36"/>
    <w:rsid w:val="00D31C18"/>
    <w:rsid w:val="00D3784E"/>
    <w:rsid w:val="00D63CC0"/>
    <w:rsid w:val="00DA2A66"/>
    <w:rsid w:val="00DA618D"/>
    <w:rsid w:val="00DD1B27"/>
    <w:rsid w:val="00DE5E5F"/>
    <w:rsid w:val="00DF2D5D"/>
    <w:rsid w:val="00E25B11"/>
    <w:rsid w:val="00E41023"/>
    <w:rsid w:val="00E44D9E"/>
    <w:rsid w:val="00E56996"/>
    <w:rsid w:val="00E62E4D"/>
    <w:rsid w:val="00E6505B"/>
    <w:rsid w:val="00E7309D"/>
    <w:rsid w:val="00EA45C2"/>
    <w:rsid w:val="00EA6074"/>
    <w:rsid w:val="00EE2844"/>
    <w:rsid w:val="00EE6E0C"/>
    <w:rsid w:val="00EF7DF4"/>
    <w:rsid w:val="00F12B40"/>
    <w:rsid w:val="00F2023A"/>
    <w:rsid w:val="00F30485"/>
    <w:rsid w:val="00F34C33"/>
    <w:rsid w:val="00F42753"/>
    <w:rsid w:val="00F50454"/>
    <w:rsid w:val="00F53A69"/>
    <w:rsid w:val="00F9743F"/>
    <w:rsid w:val="00FB0E2C"/>
    <w:rsid w:val="00FB77D5"/>
    <w:rsid w:val="00FF4015"/>
    <w:rsid w:val="02842BB0"/>
    <w:rsid w:val="02FC4A78"/>
    <w:rsid w:val="04477A12"/>
    <w:rsid w:val="0AE110BA"/>
    <w:rsid w:val="0AFD7516"/>
    <w:rsid w:val="0B880456"/>
    <w:rsid w:val="0C5949EC"/>
    <w:rsid w:val="0D110C4F"/>
    <w:rsid w:val="0F64775C"/>
    <w:rsid w:val="1DAB1FFF"/>
    <w:rsid w:val="2A31260A"/>
    <w:rsid w:val="2BB32330"/>
    <w:rsid w:val="2CE5714C"/>
    <w:rsid w:val="2FE651BC"/>
    <w:rsid w:val="326538AB"/>
    <w:rsid w:val="3B077B71"/>
    <w:rsid w:val="3F5B0336"/>
    <w:rsid w:val="44B9194D"/>
    <w:rsid w:val="473906E7"/>
    <w:rsid w:val="4E6E5705"/>
    <w:rsid w:val="574F7EEF"/>
    <w:rsid w:val="5E7303EE"/>
    <w:rsid w:val="63511F1B"/>
    <w:rsid w:val="64907D0F"/>
    <w:rsid w:val="6D907CD0"/>
    <w:rsid w:val="6F256308"/>
    <w:rsid w:val="70695393"/>
    <w:rsid w:val="717604C9"/>
    <w:rsid w:val="74AC17C0"/>
    <w:rsid w:val="760466EA"/>
    <w:rsid w:val="7B3932A9"/>
    <w:rsid w:val="7ED2232D"/>
    <w:rsid w:val="E3CF2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2"/>
      <w:szCs w:val="32"/>
      <w:lang w:eastAsia="en-US"/>
    </w:rPr>
  </w:style>
  <w:style w:type="paragraph" w:styleId="3">
    <w:name w:val="footer"/>
    <w:basedOn w:val="1"/>
    <w:link w:val="10"/>
    <w:autoRedefine/>
    <w:unhideWhenUsed/>
    <w:qFormat/>
    <w:uiPriority w:val="99"/>
    <w:pPr>
      <w:tabs>
        <w:tab w:val="center" w:pos="4153"/>
        <w:tab w:val="right" w:pos="8306"/>
      </w:tabs>
      <w:snapToGrid w:val="0"/>
      <w:jc w:val="left"/>
    </w:pPr>
    <w:rPr>
      <w:sz w:val="18"/>
    </w:r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firstLine="420" w:firstLineChars="200"/>
    </w:pPr>
  </w:style>
  <w:style w:type="paragraph" w:customStyle="1" w:styleId="9">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0">
    <w:name w:val="页脚 字符"/>
    <w:basedOn w:val="7"/>
    <w:link w:val="3"/>
    <w:autoRedefine/>
    <w:qFormat/>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540</Words>
  <Characters>3084</Characters>
  <Lines>25</Lines>
  <Paragraphs>7</Paragraphs>
  <TotalTime>20</TotalTime>
  <ScaleCrop>false</ScaleCrop>
  <LinksUpToDate>false</LinksUpToDate>
  <CharactersWithSpaces>3617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2024-02-01T04:30:00Z</dcterms:created>
  <dc:creator>审稿</dc:creator>
  <cp:lastModifiedBy>鳗鱼粗面</cp:lastModifiedBy>
  <cp:lastPrinted>2023-11-30T15:15:00Z</cp:lastPrinted>
  <dcterms:modified xsi:type="dcterms:W3CDTF">2024-02-05T02:31:51Z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5A65ACD7DF6D4E6C9D6B4793D5DE5803_13</vt:lpwstr>
  </property>
</Properties>
</file>