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/>
        <w:jc w:val="both"/>
        <w:textAlignment w:val="auto"/>
        <w:rPr>
          <w:rFonts w:hint="default"/>
          <w:b/>
          <w:bCs/>
          <w:sz w:val="31"/>
          <w:szCs w:val="31"/>
          <w:lang w:val="en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1"/>
          <w:szCs w:val="31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z w:val="31"/>
          <w:szCs w:val="31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/>
        <w:jc w:val="center"/>
        <w:textAlignment w:val="auto"/>
        <w:rPr>
          <w:rFonts w:hint="eastAsia"/>
          <w:b/>
          <w:bCs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车辆超限超载治理项目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  <w:t>验收对照表</w:t>
      </w:r>
    </w:p>
    <w:tbl>
      <w:tblPr>
        <w:tblStyle w:val="9"/>
        <w:tblW w:w="13875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5323"/>
        <w:gridCol w:w="4408"/>
        <w:gridCol w:w="2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主要项目构成</w:t>
            </w:r>
          </w:p>
        </w:tc>
        <w:tc>
          <w:tcPr>
            <w:tcW w:w="4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主要项目核验</w:t>
            </w:r>
          </w:p>
        </w:tc>
        <w:tc>
          <w:tcPr>
            <w:tcW w:w="2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28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新建超限检测站</w:t>
            </w:r>
          </w:p>
        </w:tc>
        <w:tc>
          <w:tcPr>
            <w:tcW w:w="5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1.征地</w:t>
            </w:r>
          </w:p>
        </w:tc>
        <w:tc>
          <w:tcPr>
            <w:tcW w:w="4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政府部门出具的征迁补偿相关证明等材料</w:t>
            </w:r>
          </w:p>
        </w:tc>
        <w:tc>
          <w:tcPr>
            <w:tcW w:w="2216" w:type="dxa"/>
            <w:vMerge w:val="restart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超限检测站（点）应达到“五覆盖六自动”要求，即：出入口区域、检测区域、停车区域、卸载区域、违章处罚区域的视频监控全覆盖，车牌自动识别、车轴自动判定、车载自动称重、信息自动录入、检测结果自动告知、无超自动抬杆等检测过程全自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28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2.办公综合楼、检测房、检测棚、货物保管棚等检测站工程建设</w:t>
            </w:r>
          </w:p>
        </w:tc>
        <w:tc>
          <w:tcPr>
            <w:tcW w:w="4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竣工决算证明等材料</w:t>
            </w:r>
          </w:p>
        </w:tc>
        <w:tc>
          <w:tcPr>
            <w:tcW w:w="2216" w:type="dxa"/>
            <w:vMerge w:val="continue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28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3.地磅及车牌抓拍设备等配套设施</w:t>
            </w:r>
          </w:p>
        </w:tc>
        <w:tc>
          <w:tcPr>
            <w:tcW w:w="4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合同及相关票据等材料</w:t>
            </w:r>
          </w:p>
        </w:tc>
        <w:tc>
          <w:tcPr>
            <w:tcW w:w="2216" w:type="dxa"/>
            <w:vMerge w:val="continue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28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4.三级联网系统、视频监控设备、网络传输等设施</w:t>
            </w:r>
          </w:p>
        </w:tc>
        <w:tc>
          <w:tcPr>
            <w:tcW w:w="4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合同及相关票据等材料</w:t>
            </w:r>
          </w:p>
        </w:tc>
        <w:tc>
          <w:tcPr>
            <w:tcW w:w="2216" w:type="dxa"/>
            <w:vMerge w:val="continue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28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5.外观形象建设及安全防护设施</w:t>
            </w:r>
          </w:p>
        </w:tc>
        <w:tc>
          <w:tcPr>
            <w:tcW w:w="4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合同及相关票据等材料</w:t>
            </w:r>
          </w:p>
        </w:tc>
        <w:tc>
          <w:tcPr>
            <w:tcW w:w="2216" w:type="dxa"/>
            <w:vMerge w:val="continue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28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提升改造超限检测站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1.办公综合楼、检测房、检测棚、货物保管棚等检测站修缮提升</w:t>
            </w:r>
          </w:p>
        </w:tc>
        <w:tc>
          <w:tcPr>
            <w:tcW w:w="4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竣工决算证明等材料</w:t>
            </w:r>
          </w:p>
        </w:tc>
        <w:tc>
          <w:tcPr>
            <w:tcW w:w="2216" w:type="dxa"/>
            <w:vMerge w:val="continue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28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2.地磅及车牌抓拍设备等配套设施更新</w:t>
            </w:r>
          </w:p>
        </w:tc>
        <w:tc>
          <w:tcPr>
            <w:tcW w:w="4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合同及相关票据等材料</w:t>
            </w:r>
          </w:p>
        </w:tc>
        <w:tc>
          <w:tcPr>
            <w:tcW w:w="2216" w:type="dxa"/>
            <w:vMerge w:val="continue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28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3.三级联网系统、视频监控设备、网络传输等设施更新</w:t>
            </w:r>
          </w:p>
        </w:tc>
        <w:tc>
          <w:tcPr>
            <w:tcW w:w="4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合同及相关票据等材料</w:t>
            </w:r>
          </w:p>
        </w:tc>
        <w:tc>
          <w:tcPr>
            <w:tcW w:w="2216" w:type="dxa"/>
            <w:vMerge w:val="continue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28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4.外观形象提升改造及安全防护设施</w:t>
            </w:r>
          </w:p>
        </w:tc>
        <w:tc>
          <w:tcPr>
            <w:tcW w:w="4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合同及相关票据等材料</w:t>
            </w:r>
          </w:p>
        </w:tc>
        <w:tc>
          <w:tcPr>
            <w:tcW w:w="2216" w:type="dxa"/>
            <w:vMerge w:val="continue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28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新建超限检测点</w:t>
            </w:r>
          </w:p>
        </w:tc>
        <w:tc>
          <w:tcPr>
            <w:tcW w:w="5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1.征地或场地租赁</w:t>
            </w:r>
          </w:p>
        </w:tc>
        <w:tc>
          <w:tcPr>
            <w:tcW w:w="4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政府部门出具的征迁补偿相关证明或租地合同等材料</w:t>
            </w:r>
          </w:p>
        </w:tc>
        <w:tc>
          <w:tcPr>
            <w:tcW w:w="2216" w:type="dxa"/>
            <w:vMerge w:val="continue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28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2.办公综合楼、检测房、检测棚、货物保管棚等检测点工程建设</w:t>
            </w:r>
          </w:p>
        </w:tc>
        <w:tc>
          <w:tcPr>
            <w:tcW w:w="4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竣工决算证明等材料</w:t>
            </w:r>
          </w:p>
        </w:tc>
        <w:tc>
          <w:tcPr>
            <w:tcW w:w="2216" w:type="dxa"/>
            <w:vMerge w:val="continue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28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3.地磅及车牌抓拍设备等配套设施</w:t>
            </w:r>
          </w:p>
        </w:tc>
        <w:tc>
          <w:tcPr>
            <w:tcW w:w="4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合同及相关票据等材料</w:t>
            </w:r>
          </w:p>
        </w:tc>
        <w:tc>
          <w:tcPr>
            <w:tcW w:w="2216" w:type="dxa"/>
            <w:vMerge w:val="continue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928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4.视频监控设备、网络传输等设施</w:t>
            </w:r>
          </w:p>
        </w:tc>
        <w:tc>
          <w:tcPr>
            <w:tcW w:w="4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合同及相关票据等材料</w:t>
            </w:r>
          </w:p>
        </w:tc>
        <w:tc>
          <w:tcPr>
            <w:tcW w:w="2216" w:type="dxa"/>
            <w:vMerge w:val="continue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928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5.外观形象建设及安全防护设施</w:t>
            </w:r>
          </w:p>
        </w:tc>
        <w:tc>
          <w:tcPr>
            <w:tcW w:w="4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合同及相关票据等材料</w:t>
            </w:r>
          </w:p>
        </w:tc>
        <w:tc>
          <w:tcPr>
            <w:tcW w:w="2216" w:type="dxa"/>
            <w:vMerge w:val="continue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28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改造超限检测点</w:t>
            </w:r>
          </w:p>
        </w:tc>
        <w:tc>
          <w:tcPr>
            <w:tcW w:w="5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.办公综合楼、检测房、检测棚、货物保管棚等设置改造</w:t>
            </w:r>
          </w:p>
        </w:tc>
        <w:tc>
          <w:tcPr>
            <w:tcW w:w="4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竣工决算证明等材料</w:t>
            </w:r>
          </w:p>
        </w:tc>
        <w:tc>
          <w:tcPr>
            <w:tcW w:w="2216" w:type="dxa"/>
            <w:vMerge w:val="continue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28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2.地磅及车牌抓拍设备等配套设施</w:t>
            </w:r>
          </w:p>
        </w:tc>
        <w:tc>
          <w:tcPr>
            <w:tcW w:w="4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合同及相关票据等材料</w:t>
            </w:r>
          </w:p>
        </w:tc>
        <w:tc>
          <w:tcPr>
            <w:tcW w:w="2216" w:type="dxa"/>
            <w:vMerge w:val="continue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28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3.视频监控设备、网络传输等设施</w:t>
            </w:r>
          </w:p>
        </w:tc>
        <w:tc>
          <w:tcPr>
            <w:tcW w:w="4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合同及相关票据等材料</w:t>
            </w:r>
          </w:p>
        </w:tc>
        <w:tc>
          <w:tcPr>
            <w:tcW w:w="2216" w:type="dxa"/>
            <w:vMerge w:val="continue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28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4.外观形象建设及安全防护设施</w:t>
            </w:r>
          </w:p>
        </w:tc>
        <w:tc>
          <w:tcPr>
            <w:tcW w:w="4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合同及相关票据等材料</w:t>
            </w:r>
          </w:p>
        </w:tc>
        <w:tc>
          <w:tcPr>
            <w:tcW w:w="2216" w:type="dxa"/>
            <w:vMerge w:val="continue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车辆路面动态检测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技术监控</w:t>
            </w:r>
          </w:p>
        </w:tc>
        <w:tc>
          <w:tcPr>
            <w:tcW w:w="5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设置交通标志标线、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电子抓拍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系统、动态自动称重系统、外廓尺寸系统、交通流量调查系统、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LED显示屏等</w:t>
            </w:r>
          </w:p>
        </w:tc>
        <w:tc>
          <w:tcPr>
            <w:tcW w:w="4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合同及相关票据等材料</w:t>
            </w:r>
          </w:p>
        </w:tc>
        <w:tc>
          <w:tcPr>
            <w:tcW w:w="2216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设置电子抓拍设施</w:t>
            </w:r>
          </w:p>
        </w:tc>
        <w:tc>
          <w:tcPr>
            <w:tcW w:w="5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置专用标志、交通标志标线、电子抓拍设备、LED显示屏、必要车道及场地改造等</w:t>
            </w:r>
          </w:p>
        </w:tc>
        <w:tc>
          <w:tcPr>
            <w:tcW w:w="4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合同及相关票据等材料</w:t>
            </w:r>
          </w:p>
        </w:tc>
        <w:tc>
          <w:tcPr>
            <w:tcW w:w="2216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设置货运车辆检测辅道</w:t>
            </w:r>
          </w:p>
        </w:tc>
        <w:tc>
          <w:tcPr>
            <w:tcW w:w="5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辅道建设</w:t>
            </w:r>
          </w:p>
        </w:tc>
        <w:tc>
          <w:tcPr>
            <w:tcW w:w="4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合同及相关票据等材料</w:t>
            </w:r>
          </w:p>
        </w:tc>
        <w:tc>
          <w:tcPr>
            <w:tcW w:w="2216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CF1D6"/>
    <w:rsid w:val="17340154"/>
    <w:rsid w:val="5B35E1B3"/>
    <w:rsid w:val="5FAA9940"/>
    <w:rsid w:val="6E7B341C"/>
    <w:rsid w:val="7DFCF1D6"/>
    <w:rsid w:val="D7E72174"/>
    <w:rsid w:val="DE7D96A1"/>
    <w:rsid w:val="FFC79B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 w:cs="Times New Roman"/>
      <w:szCs w:val="20"/>
    </w:rPr>
  </w:style>
  <w:style w:type="paragraph" w:styleId="3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4">
    <w:name w:val="Body Text Indent"/>
    <w:basedOn w:val="1"/>
    <w:qFormat/>
    <w:uiPriority w:val="0"/>
    <w:pPr>
      <w:spacing w:after="120"/>
      <w:ind w:left="420"/>
      <w:jc w:val="left"/>
    </w:pPr>
    <w:rPr>
      <w:rFonts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4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Body Text First Indent1"/>
    <w:basedOn w:val="3"/>
    <w:qFormat/>
    <w:uiPriority w:val="0"/>
    <w:pPr>
      <w:widowControl w:val="0"/>
      <w:spacing w:after="200" w:line="276" w:lineRule="auto"/>
      <w:ind w:left="120" w:firstLine="420" w:firstLineChars="100"/>
      <w:jc w:val="both"/>
    </w:pPr>
    <w:rPr>
      <w:rFonts w:ascii="Arial Unicode MS" w:hAnsi="Arial Unicode MS" w:eastAsia="Arial Unicode MS" w:cs="Arial Unicode MS"/>
      <w:kern w:val="2"/>
      <w:sz w:val="30"/>
      <w:szCs w:val="30"/>
      <w:lang w:val="zh-CN" w:eastAsia="zh-CN" w:bidi="zh-CN"/>
    </w:rPr>
  </w:style>
  <w:style w:type="character" w:customStyle="1" w:styleId="11">
    <w:name w:val="font01"/>
    <w:basedOn w:val="7"/>
    <w:qFormat/>
    <w:uiPriority w:val="0"/>
    <w:rPr>
      <w:rFonts w:hint="eastAsia" w:ascii="华文仿宋" w:hAnsi="华文仿宋" w:eastAsia="华文仿宋" w:cs="华文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1431655765</TotalTime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2022-03-16T00:39:00Z</dcterms:created>
  <dc:creator>user</dc:creator>
  <cp:lastModifiedBy>JTT</cp:lastModifiedBy>
  <dcterms:modified xsi:type="dcterms:W3CDTF">2022-04-07T00:31:42Z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