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15107" w:type="dxa"/>
        <w:tblInd w:w="-860" w:type="dxa"/>
        <w:tblLayout w:type="fixed"/>
        <w:tblCellMar>
          <w:top w:w="0" w:type="dxa"/>
          <w:left w:w="108" w:type="dxa"/>
          <w:bottom w:w="0" w:type="dxa"/>
          <w:right w:w="108" w:type="dxa"/>
        </w:tblCellMar>
      </w:tblPr>
      <w:tblGrid>
        <w:gridCol w:w="753"/>
        <w:gridCol w:w="829"/>
        <w:gridCol w:w="1189"/>
        <w:gridCol w:w="8227"/>
        <w:gridCol w:w="4109"/>
      </w:tblGrid>
      <w:tr>
        <w:tblPrEx>
          <w:tblCellMar>
            <w:top w:w="0" w:type="dxa"/>
            <w:left w:w="108" w:type="dxa"/>
            <w:bottom w:w="0" w:type="dxa"/>
            <w:right w:w="108" w:type="dxa"/>
          </w:tblCellMar>
        </w:tblPrEx>
        <w:trPr>
          <w:trHeight w:val="90" w:hRule="atLeast"/>
        </w:trPr>
        <w:tc>
          <w:tcPr>
            <w:tcW w:w="15107" w:type="dxa"/>
            <w:gridSpan w:val="5"/>
            <w:tcBorders>
              <w:top w:val="nil"/>
              <w:left w:val="nil"/>
              <w:bottom w:val="single" w:color="000000" w:sz="8" w:space="0"/>
              <w:right w:val="nil"/>
            </w:tcBorders>
            <w:vAlign w:val="center"/>
          </w:tcPr>
          <w:p>
            <w:pPr>
              <w:widowControl/>
              <w:ind w:firstLine="0" w:firstLineChars="0"/>
              <w:jc w:val="both"/>
              <w:textAlignment w:val="center"/>
              <w:rPr>
                <w:rFonts w:hint="eastAsia" w:ascii="黑体" w:hAnsi="黑体" w:eastAsia="黑体" w:cs="黑体"/>
                <w:bCs/>
                <w:color w:val="auto"/>
                <w:kern w:val="0"/>
                <w:sz w:val="32"/>
                <w:szCs w:val="32"/>
                <w:shd w:val="clear" w:color="auto" w:fill="FFFFFF"/>
                <w:lang w:eastAsia="zh-CN"/>
              </w:rPr>
            </w:pPr>
            <w:bookmarkStart w:id="0" w:name="_GoBack"/>
            <w:bookmarkEnd w:id="0"/>
            <w:r>
              <w:rPr>
                <w:rFonts w:hint="eastAsia" w:ascii="黑体" w:hAnsi="黑体" w:eastAsia="黑体" w:cs="黑体"/>
                <w:bCs/>
                <w:color w:val="auto"/>
                <w:kern w:val="0"/>
                <w:sz w:val="32"/>
                <w:szCs w:val="32"/>
                <w:shd w:val="clear" w:color="auto" w:fill="FFFFFF"/>
                <w:lang w:eastAsia="zh-CN"/>
              </w:rPr>
              <w:t>附件</w:t>
            </w:r>
          </w:p>
          <w:p>
            <w:pPr>
              <w:widowControl/>
              <w:ind w:firstLine="0" w:firstLineChars="0"/>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kern w:val="0"/>
                <w:sz w:val="40"/>
                <w:szCs w:val="40"/>
              </w:rPr>
              <w:t>重点任务清单</w:t>
            </w:r>
          </w:p>
        </w:tc>
      </w:tr>
      <w:tr>
        <w:tblPrEx>
          <w:tblCellMar>
            <w:top w:w="0" w:type="dxa"/>
            <w:left w:w="108" w:type="dxa"/>
            <w:bottom w:w="0" w:type="dxa"/>
            <w:right w:w="108" w:type="dxa"/>
          </w:tblCellMar>
        </w:tblPrEx>
        <w:trPr>
          <w:trHeight w:val="327"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val="0"/>
                <w:color w:val="auto"/>
                <w:sz w:val="24"/>
              </w:rPr>
            </w:pPr>
            <w:r>
              <w:rPr>
                <w:rFonts w:hint="eastAsia" w:ascii="仿宋_GB2312" w:hAnsi="宋体" w:cs="仿宋_GB2312"/>
                <w:b/>
                <w:bCs w:val="0"/>
                <w:color w:val="auto"/>
                <w:kern w:val="0"/>
                <w:sz w:val="24"/>
              </w:rPr>
              <w:t>序号</w:t>
            </w:r>
          </w:p>
        </w:tc>
        <w:tc>
          <w:tcPr>
            <w:tcW w:w="2018" w:type="dxa"/>
            <w:gridSpan w:val="2"/>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val="0"/>
                <w:color w:val="auto"/>
                <w:sz w:val="24"/>
              </w:rPr>
            </w:pPr>
            <w:r>
              <w:rPr>
                <w:rFonts w:hint="eastAsia" w:ascii="仿宋_GB2312" w:hAnsi="宋体" w:cs="仿宋_GB2312"/>
                <w:b/>
                <w:bCs w:val="0"/>
                <w:color w:val="auto"/>
                <w:kern w:val="0"/>
                <w:sz w:val="24"/>
              </w:rPr>
              <w:t>主要任务</w:t>
            </w: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val="0"/>
                <w:color w:val="auto"/>
                <w:sz w:val="24"/>
              </w:rPr>
            </w:pPr>
            <w:r>
              <w:rPr>
                <w:rFonts w:hint="eastAsia" w:ascii="仿宋_GB2312" w:hAnsi="宋体" w:cs="仿宋_GB2312"/>
                <w:b/>
                <w:bCs w:val="0"/>
                <w:color w:val="auto"/>
                <w:kern w:val="0"/>
                <w:sz w:val="24"/>
              </w:rPr>
              <w:t>具体措施</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val="0"/>
                <w:color w:val="auto"/>
                <w:sz w:val="24"/>
              </w:rPr>
            </w:pPr>
            <w:r>
              <w:rPr>
                <w:rFonts w:hint="eastAsia" w:ascii="仿宋_GB2312" w:hAnsi="宋体" w:cs="仿宋_GB2312"/>
                <w:b/>
                <w:bCs w:val="0"/>
                <w:color w:val="auto"/>
                <w:kern w:val="0"/>
                <w:sz w:val="24"/>
              </w:rPr>
              <w:t>落实单位</w:t>
            </w:r>
          </w:p>
        </w:tc>
      </w:tr>
      <w:tr>
        <w:tblPrEx>
          <w:tblCellMar>
            <w:top w:w="0" w:type="dxa"/>
            <w:left w:w="108" w:type="dxa"/>
            <w:bottom w:w="0" w:type="dxa"/>
            <w:right w:w="108" w:type="dxa"/>
          </w:tblCellMar>
        </w:tblPrEx>
        <w:trPr>
          <w:trHeight w:val="788"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sz w:val="24"/>
              </w:rPr>
            </w:pPr>
            <w:r>
              <w:rPr>
                <w:rFonts w:hint="eastAsia" w:ascii="仿宋_GB2312" w:hAnsi="宋体" w:cs="仿宋_GB2312"/>
                <w:color w:val="auto"/>
                <w:kern w:val="0"/>
                <w:sz w:val="24"/>
              </w:rPr>
              <w:t>1</w:t>
            </w:r>
          </w:p>
        </w:tc>
        <w:tc>
          <w:tcPr>
            <w:tcW w:w="829" w:type="dxa"/>
            <w:vMerge w:val="restart"/>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r>
              <w:rPr>
                <w:rFonts w:hint="eastAsia" w:ascii="楷体_GB2312" w:hAnsi="楷体_GB2312" w:eastAsia="楷体_GB2312" w:cs="楷体_GB2312"/>
                <w:b/>
                <w:color w:val="auto"/>
                <w:sz w:val="24"/>
              </w:rPr>
              <w:t>推进设施一体衔接</w:t>
            </w:r>
          </w:p>
          <w:p>
            <w:pPr>
              <w:widowControl/>
              <w:ind w:firstLine="0" w:firstLineChars="0"/>
              <w:jc w:val="center"/>
              <w:textAlignment w:val="center"/>
              <w:rPr>
                <w:rFonts w:ascii="仿宋_GB2312" w:hAnsi="宋体" w:cs="仿宋_GB2312"/>
                <w:color w:val="auto"/>
                <w:sz w:val="24"/>
              </w:rPr>
            </w:pPr>
          </w:p>
        </w:tc>
        <w:tc>
          <w:tcPr>
            <w:tcW w:w="118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加快推进“三网融合”</w:t>
            </w: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推进</w:t>
            </w:r>
            <w:r>
              <w:rPr>
                <w:rFonts w:hint="eastAsia" w:ascii="仿宋_GB2312" w:hAnsi="宋体" w:cs="仿宋_GB2312"/>
                <w:b/>
                <w:bCs/>
                <w:color w:val="auto"/>
                <w:kern w:val="0"/>
                <w:sz w:val="24"/>
              </w:rPr>
              <w:t>沈海高速泉厦段扩容工程、京台复线延平至闽侯</w:t>
            </w:r>
            <w:r>
              <w:rPr>
                <w:rFonts w:hint="eastAsia" w:ascii="仿宋_GB2312" w:hAnsi="宋体" w:cs="仿宋_GB2312"/>
                <w:color w:val="auto"/>
                <w:kern w:val="0"/>
                <w:sz w:val="24"/>
              </w:rPr>
              <w:t>等一批重大项目建设。在沈海、京台、福银、莆炎、甬莞、沙厦等国家高速福建段实施一批“一主一备”项目。</w:t>
            </w:r>
            <w:r>
              <w:rPr>
                <w:rFonts w:hint="eastAsia" w:ascii="仿宋_GB2312" w:hAnsi="宋体" w:cs="仿宋_GB2312"/>
                <w:b/>
                <w:bCs/>
                <w:color w:val="auto"/>
                <w:kern w:val="0"/>
                <w:sz w:val="24"/>
              </w:rPr>
              <w:t>新建莆炎高速公路埭头至湄洲港段、古雷疏港高速</w:t>
            </w:r>
            <w:r>
              <w:rPr>
                <w:rFonts w:hint="eastAsia" w:ascii="仿宋_GB2312" w:hAnsi="宋体" w:cs="仿宋_GB2312"/>
                <w:color w:val="auto"/>
                <w:kern w:val="0"/>
                <w:sz w:val="24"/>
              </w:rPr>
              <w:t>等项目。</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spacing w:line="260" w:lineRule="exact"/>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省发改委、省自然资源厅、省交通运输厅、省高速集团</w:t>
            </w:r>
          </w:p>
        </w:tc>
      </w:tr>
      <w:tr>
        <w:tblPrEx>
          <w:tblCellMar>
            <w:top w:w="0" w:type="dxa"/>
            <w:left w:w="108" w:type="dxa"/>
            <w:bottom w:w="0" w:type="dxa"/>
            <w:right w:w="108" w:type="dxa"/>
          </w:tblCellMar>
        </w:tblPrEx>
        <w:trPr>
          <w:trHeight w:val="437"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sz w:val="24"/>
              </w:rPr>
            </w:pPr>
            <w:r>
              <w:rPr>
                <w:rFonts w:hint="eastAsia" w:ascii="仿宋_GB2312" w:hAnsi="宋体" w:cs="仿宋_GB2312"/>
                <w:color w:val="auto"/>
                <w:kern w:val="0"/>
                <w:sz w:val="24"/>
              </w:rPr>
              <w:t>2</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ascii="仿宋_GB2312" w:hAnsi="宋体" w:cs="仿宋_GB2312"/>
                <w:color w:val="auto"/>
                <w:sz w:val="24"/>
              </w:rPr>
            </w:pPr>
          </w:p>
        </w:tc>
        <w:tc>
          <w:tcPr>
            <w:tcW w:w="1189" w:type="dxa"/>
            <w:vMerge w:val="restart"/>
            <w:tcBorders>
              <w:top w:val="single" w:color="000000" w:sz="8" w:space="0"/>
              <w:left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推动枢纽场站衔接</w:t>
            </w: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加快建设“一群九组团”综合货运枢纽体系。</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spacing w:line="260" w:lineRule="exact"/>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省交通运输厅、省发改委</w:t>
            </w:r>
          </w:p>
        </w:tc>
      </w:tr>
      <w:tr>
        <w:tblPrEx>
          <w:tblCellMar>
            <w:top w:w="0" w:type="dxa"/>
            <w:left w:w="108" w:type="dxa"/>
            <w:bottom w:w="0" w:type="dxa"/>
            <w:right w:w="108" w:type="dxa"/>
          </w:tblCellMar>
        </w:tblPrEx>
        <w:trPr>
          <w:trHeight w:val="265"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sz w:val="24"/>
              </w:rPr>
            </w:pPr>
            <w:r>
              <w:rPr>
                <w:rFonts w:hint="eastAsia" w:ascii="仿宋_GB2312" w:hAnsi="宋体" w:cs="仿宋_GB2312"/>
                <w:color w:val="auto"/>
                <w:kern w:val="0"/>
                <w:sz w:val="24"/>
              </w:rPr>
              <w:t>3</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ind w:firstLine="480"/>
              <w:jc w:val="center"/>
              <w:rPr>
                <w:rFonts w:ascii="仿宋_GB2312" w:hAnsi="宋体" w:cs="仿宋_GB2312"/>
                <w:color w:val="auto"/>
                <w:sz w:val="24"/>
              </w:rPr>
            </w:pPr>
          </w:p>
        </w:tc>
        <w:tc>
          <w:tcPr>
            <w:tcW w:w="1189" w:type="dxa"/>
            <w:vMerge w:val="continue"/>
            <w:tcBorders>
              <w:left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lang w:val="zh-CN"/>
              </w:rPr>
              <w:t>打造</w:t>
            </w:r>
            <w:r>
              <w:rPr>
                <w:rFonts w:hint="eastAsia" w:ascii="仿宋_GB2312" w:hAnsi="宋体" w:cs="仿宋_GB2312"/>
                <w:color w:val="auto"/>
                <w:kern w:val="0"/>
                <w:sz w:val="24"/>
              </w:rPr>
              <w:t>海铁联运枢纽，加快建设</w:t>
            </w:r>
            <w:r>
              <w:rPr>
                <w:rFonts w:hint="eastAsia" w:ascii="仿宋_GB2312" w:hAnsi="宋体" w:cs="仿宋_GB2312"/>
                <w:b/>
                <w:bCs/>
                <w:color w:val="auto"/>
                <w:kern w:val="0"/>
                <w:sz w:val="24"/>
              </w:rPr>
              <w:t>厦门前场、福州江阴、泉州黄塘、武夷山陆地港</w:t>
            </w:r>
            <w:r>
              <w:rPr>
                <w:rFonts w:hint="eastAsia" w:ascii="仿宋_GB2312" w:hAnsi="宋体" w:cs="仿宋_GB2312"/>
                <w:color w:val="auto"/>
                <w:kern w:val="0"/>
                <w:sz w:val="24"/>
              </w:rPr>
              <w:t>等项目。</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spacing w:line="260" w:lineRule="exact"/>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省发改委、省自然资源厅、省交通运输厅、省铁路建设发展中心、中铁南昌局集团</w:t>
            </w:r>
          </w:p>
        </w:tc>
      </w:tr>
      <w:tr>
        <w:tblPrEx>
          <w:tblCellMar>
            <w:top w:w="0" w:type="dxa"/>
            <w:left w:w="108" w:type="dxa"/>
            <w:bottom w:w="0" w:type="dxa"/>
            <w:right w:w="108" w:type="dxa"/>
          </w:tblCellMar>
        </w:tblPrEx>
        <w:trPr>
          <w:trHeight w:val="578"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sz w:val="24"/>
              </w:rPr>
            </w:pPr>
            <w:r>
              <w:rPr>
                <w:rFonts w:hint="eastAsia" w:ascii="仿宋_GB2312" w:hAnsi="宋体" w:cs="仿宋_GB2312"/>
                <w:color w:val="auto"/>
                <w:kern w:val="0"/>
                <w:sz w:val="24"/>
              </w:rPr>
              <w:t>4</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sz w:val="24"/>
              </w:rPr>
            </w:pPr>
          </w:p>
        </w:tc>
        <w:tc>
          <w:tcPr>
            <w:tcW w:w="1189" w:type="dxa"/>
            <w:vMerge w:val="continue"/>
            <w:tcBorders>
              <w:left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打造江海联运枢纽，加快建设</w:t>
            </w:r>
            <w:r>
              <w:rPr>
                <w:rFonts w:hint="eastAsia" w:ascii="仿宋_GB2312" w:hAnsi="宋体" w:cs="仿宋_GB2312"/>
                <w:b/>
                <w:bCs/>
                <w:color w:val="auto"/>
                <w:kern w:val="0"/>
                <w:sz w:val="24"/>
              </w:rPr>
              <w:t>南平港延平新城港区临港物流园</w:t>
            </w:r>
            <w:r>
              <w:rPr>
                <w:rFonts w:hint="eastAsia" w:ascii="仿宋_GB2312" w:hAnsi="宋体" w:cs="仿宋_GB2312"/>
                <w:color w:val="auto"/>
                <w:kern w:val="0"/>
                <w:sz w:val="24"/>
              </w:rPr>
              <w:t>等项目。</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spacing w:line="260" w:lineRule="exact"/>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省发改委、省自然资源厅、省交通运输厅</w:t>
            </w:r>
          </w:p>
        </w:tc>
      </w:tr>
      <w:tr>
        <w:tblPrEx>
          <w:tblCellMar>
            <w:top w:w="0" w:type="dxa"/>
            <w:left w:w="108" w:type="dxa"/>
            <w:bottom w:w="0" w:type="dxa"/>
            <w:right w:w="108" w:type="dxa"/>
          </w:tblCellMar>
        </w:tblPrEx>
        <w:trPr>
          <w:trHeight w:val="704"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sz w:val="24"/>
              </w:rPr>
            </w:pPr>
            <w:r>
              <w:rPr>
                <w:rFonts w:hint="eastAsia" w:ascii="仿宋_GB2312" w:hAnsi="宋体" w:cs="仿宋_GB2312"/>
                <w:color w:val="auto"/>
                <w:kern w:val="0"/>
                <w:sz w:val="24"/>
              </w:rPr>
              <w:t>5</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ind w:firstLine="480"/>
              <w:jc w:val="center"/>
              <w:rPr>
                <w:rFonts w:ascii="仿宋_GB2312" w:hAnsi="宋体" w:cs="仿宋_GB2312"/>
                <w:color w:val="auto"/>
                <w:sz w:val="24"/>
              </w:rPr>
            </w:pPr>
          </w:p>
        </w:tc>
        <w:tc>
          <w:tcPr>
            <w:tcW w:w="1189" w:type="dxa"/>
            <w:vMerge w:val="continue"/>
            <w:tcBorders>
              <w:left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打造航空物流枢纽，加快建设</w:t>
            </w:r>
            <w:r>
              <w:rPr>
                <w:rFonts w:hint="eastAsia" w:ascii="仿宋_GB2312" w:hAnsi="宋体" w:cs="仿宋_GB2312"/>
                <w:b/>
                <w:bCs/>
                <w:color w:val="auto"/>
                <w:kern w:val="0"/>
                <w:sz w:val="24"/>
              </w:rPr>
              <w:t>厦门航空基地货运站（商舟物流园）、晋江机场货运基地、</w:t>
            </w:r>
            <w:r>
              <w:rPr>
                <w:rFonts w:ascii="仿宋_GB2312" w:hAnsi="宋体" w:cs="仿宋_GB2312"/>
                <w:b/>
                <w:bCs/>
                <w:color w:val="auto"/>
                <w:kern w:val="0"/>
                <w:sz w:val="24"/>
              </w:rPr>
              <w:t>厦门</w:t>
            </w:r>
            <w:r>
              <w:rPr>
                <w:rFonts w:hint="eastAsia" w:ascii="仿宋_GB2312" w:hAnsi="宋体" w:cs="仿宋_GB2312"/>
                <w:b/>
                <w:bCs/>
                <w:color w:val="auto"/>
                <w:kern w:val="0"/>
                <w:sz w:val="24"/>
              </w:rPr>
              <w:t>新</w:t>
            </w:r>
            <w:r>
              <w:rPr>
                <w:rFonts w:ascii="仿宋_GB2312" w:hAnsi="宋体" w:cs="仿宋_GB2312"/>
                <w:b/>
                <w:bCs/>
                <w:color w:val="auto"/>
                <w:kern w:val="0"/>
                <w:sz w:val="24"/>
              </w:rPr>
              <w:t>机场货运</w:t>
            </w:r>
            <w:r>
              <w:rPr>
                <w:rFonts w:hint="eastAsia" w:ascii="仿宋_GB2312" w:hAnsi="宋体" w:cs="仿宋_GB2312"/>
                <w:b/>
                <w:bCs/>
                <w:color w:val="auto"/>
                <w:kern w:val="0"/>
                <w:sz w:val="24"/>
              </w:rPr>
              <w:t>区工程</w:t>
            </w:r>
            <w:r>
              <w:rPr>
                <w:rFonts w:ascii="仿宋_GB2312" w:hAnsi="宋体" w:cs="仿宋_GB2312"/>
                <w:color w:val="auto"/>
                <w:kern w:val="0"/>
                <w:sz w:val="24"/>
              </w:rPr>
              <w:t>等项目</w:t>
            </w:r>
            <w:r>
              <w:rPr>
                <w:rFonts w:hint="eastAsia" w:ascii="仿宋_GB2312" w:hAnsi="宋体" w:cs="仿宋_GB2312"/>
                <w:color w:val="auto"/>
                <w:kern w:val="0"/>
                <w:sz w:val="24"/>
              </w:rPr>
              <w:t>。</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spacing w:line="260" w:lineRule="exact"/>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省发改委、省自然资源厅、省邮政管理局、民航福建监管局、民航厦门监管局</w:t>
            </w:r>
          </w:p>
        </w:tc>
      </w:tr>
      <w:tr>
        <w:tblPrEx>
          <w:tblCellMar>
            <w:top w:w="0" w:type="dxa"/>
            <w:left w:w="108" w:type="dxa"/>
            <w:bottom w:w="0" w:type="dxa"/>
            <w:right w:w="108" w:type="dxa"/>
          </w:tblCellMar>
        </w:tblPrEx>
        <w:trPr>
          <w:trHeight w:val="960"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6</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ind w:firstLine="480"/>
              <w:jc w:val="center"/>
              <w:rPr>
                <w:rFonts w:ascii="仿宋_GB2312" w:hAnsi="宋体" w:cs="仿宋_GB2312"/>
                <w:color w:val="auto"/>
                <w:sz w:val="24"/>
              </w:rPr>
            </w:pPr>
          </w:p>
        </w:tc>
        <w:tc>
          <w:tcPr>
            <w:tcW w:w="1189" w:type="dxa"/>
            <w:vMerge w:val="continue"/>
            <w:tcBorders>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打造骨干物流集聚区，加快建设</w:t>
            </w:r>
            <w:r>
              <w:rPr>
                <w:rFonts w:hint="eastAsia" w:ascii="仿宋_GB2312" w:hAnsi="宋体" w:cs="仿宋_GB2312"/>
                <w:b/>
                <w:bCs/>
                <w:color w:val="auto"/>
                <w:kern w:val="0"/>
                <w:sz w:val="24"/>
              </w:rPr>
              <w:t>连江物流城、厦门前场物流集聚区、翔安物流集聚区、后井地块多式联运智慧物流中心、泉州南翼新城物流枢纽</w:t>
            </w:r>
            <w:r>
              <w:rPr>
                <w:rFonts w:hint="eastAsia" w:ascii="仿宋_GB2312" w:hAnsi="宋体" w:cs="仿宋_GB2312"/>
                <w:color w:val="auto"/>
                <w:kern w:val="0"/>
                <w:sz w:val="24"/>
              </w:rPr>
              <w:t>等区域、项目建设。</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spacing w:line="260" w:lineRule="exact"/>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省发改委、省自然资源厅、省交通运输厅</w:t>
            </w:r>
          </w:p>
        </w:tc>
      </w:tr>
      <w:tr>
        <w:tblPrEx>
          <w:tblCellMar>
            <w:top w:w="0" w:type="dxa"/>
            <w:left w:w="108" w:type="dxa"/>
            <w:bottom w:w="0" w:type="dxa"/>
            <w:right w:w="108" w:type="dxa"/>
          </w:tblCellMar>
        </w:tblPrEx>
        <w:trPr>
          <w:trHeight w:val="1670"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7</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ind w:firstLine="480"/>
              <w:jc w:val="center"/>
              <w:rPr>
                <w:rFonts w:ascii="仿宋_GB2312" w:hAnsi="宋体" w:cs="仿宋_GB2312"/>
                <w:color w:val="auto"/>
                <w:sz w:val="24"/>
              </w:rPr>
            </w:pPr>
          </w:p>
        </w:tc>
        <w:tc>
          <w:tcPr>
            <w:tcW w:w="118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推进港口铁路衔接</w:t>
            </w:r>
          </w:p>
        </w:tc>
        <w:tc>
          <w:tcPr>
            <w:tcW w:w="8227" w:type="dxa"/>
            <w:tcBorders>
              <w:top w:val="single" w:color="000000" w:sz="8" w:space="0"/>
              <w:left w:val="single" w:color="000000" w:sz="8" w:space="0"/>
              <w:bottom w:val="single" w:color="000000" w:sz="8" w:space="0"/>
              <w:right w:val="single" w:color="000000" w:sz="8" w:space="0"/>
            </w:tcBorders>
            <w:vAlign w:val="center"/>
          </w:tcPr>
          <w:p>
            <w:pPr>
              <w:pStyle w:val="2"/>
              <w:ind w:left="0"/>
              <w:rPr>
                <w:color w:val="auto"/>
              </w:rPr>
            </w:pPr>
            <w:r>
              <w:rPr>
                <w:rFonts w:hint="eastAsia" w:ascii="仿宋_GB2312" w:hAnsi="宋体" w:cs="仿宋_GB2312"/>
                <w:color w:val="auto"/>
                <w:kern w:val="0"/>
                <w:sz w:val="24"/>
                <w:szCs w:val="24"/>
              </w:rPr>
              <w:t>加快建设</w:t>
            </w:r>
            <w:r>
              <w:rPr>
                <w:rFonts w:hint="eastAsia" w:ascii="仿宋_GB2312" w:hAnsi="宋体" w:cs="仿宋_GB2312"/>
                <w:b/>
                <w:bCs/>
                <w:color w:val="auto"/>
                <w:kern w:val="0"/>
                <w:sz w:val="24"/>
                <w:szCs w:val="24"/>
              </w:rPr>
              <w:t>福州可门、宁德白马、漳州港尾、远海码头等铁路支线项目</w:t>
            </w:r>
            <w:r>
              <w:rPr>
                <w:rFonts w:hint="eastAsia" w:ascii="仿宋_GB2312" w:hAnsi="宋体" w:cs="仿宋_GB2312"/>
                <w:color w:val="auto"/>
                <w:kern w:val="0"/>
                <w:sz w:val="24"/>
                <w:szCs w:val="24"/>
              </w:rPr>
              <w:t>及</w:t>
            </w:r>
            <w:r>
              <w:rPr>
                <w:rFonts w:hint="eastAsia" w:ascii="仿宋_GB2312" w:hAnsi="宋体" w:cs="仿宋_GB2312"/>
                <w:b/>
                <w:bCs/>
                <w:color w:val="auto"/>
                <w:kern w:val="0"/>
                <w:sz w:val="24"/>
                <w:szCs w:val="24"/>
              </w:rPr>
              <w:t>福州港后方铁路通道项目</w:t>
            </w:r>
            <w:r>
              <w:rPr>
                <w:rFonts w:hint="eastAsia" w:ascii="仿宋_GB2312" w:hAnsi="宋体" w:cs="仿宋_GB2312"/>
                <w:color w:val="auto"/>
                <w:kern w:val="0"/>
                <w:sz w:val="24"/>
                <w:szCs w:val="24"/>
              </w:rPr>
              <w:t>，</w:t>
            </w:r>
            <w:r>
              <w:rPr>
                <w:rFonts w:hint="eastAsia" w:ascii="仿宋_GB2312" w:hAnsi="宋体" w:cs="仿宋_GB2312"/>
                <w:color w:val="auto"/>
                <w:kern w:val="0"/>
                <w:sz w:val="24"/>
                <w:szCs w:val="24"/>
                <w:lang w:eastAsia="zh-CN"/>
              </w:rPr>
              <w:t>及</w:t>
            </w:r>
            <w:r>
              <w:rPr>
                <w:rFonts w:hint="eastAsia" w:ascii="仿宋_GB2312" w:hAnsi="宋体" w:cs="仿宋_GB2312"/>
                <w:b/>
                <w:bCs/>
                <w:color w:val="auto"/>
                <w:kern w:val="0"/>
                <w:sz w:val="24"/>
                <w:szCs w:val="24"/>
              </w:rPr>
              <w:t>宁德漳湾港铁路专用线、福州长乐区松下港铁路专用线</w:t>
            </w:r>
            <w:r>
              <w:rPr>
                <w:rFonts w:hint="eastAsia" w:ascii="仿宋_GB2312" w:hAnsi="宋体" w:cs="仿宋_GB2312"/>
                <w:color w:val="auto"/>
                <w:kern w:val="0"/>
                <w:sz w:val="24"/>
                <w:szCs w:val="24"/>
              </w:rPr>
              <w:t>等疏港铁路项目。挖掘向莆、衢宁、浦梅（建冠段）、兴泉等铁路运能，实施</w:t>
            </w:r>
            <w:r>
              <w:rPr>
                <w:rFonts w:hint="eastAsia" w:ascii="仿宋_GB2312" w:hAnsi="宋体" w:cs="仿宋_GB2312"/>
                <w:b/>
                <w:bCs/>
                <w:color w:val="auto"/>
                <w:kern w:val="0"/>
                <w:sz w:val="24"/>
                <w:szCs w:val="24"/>
              </w:rPr>
              <w:t>鹰厦线三明、华安城区段改线等工程</w:t>
            </w:r>
            <w:r>
              <w:rPr>
                <w:rFonts w:hint="eastAsia" w:ascii="仿宋_GB2312" w:hAnsi="宋体" w:cs="仿宋_GB2312"/>
                <w:color w:val="auto"/>
                <w:kern w:val="0"/>
                <w:sz w:val="24"/>
                <w:szCs w:val="24"/>
              </w:rPr>
              <w:t>，推动</w:t>
            </w:r>
            <w:r>
              <w:rPr>
                <w:rFonts w:hint="eastAsia" w:ascii="仿宋_GB2312" w:hAnsi="宋体" w:cs="仿宋_GB2312"/>
                <w:b/>
                <w:bCs/>
                <w:color w:val="auto"/>
                <w:kern w:val="0"/>
                <w:sz w:val="24"/>
                <w:szCs w:val="24"/>
              </w:rPr>
              <w:t>厦门海沧经安溪接兴泉铁路</w:t>
            </w:r>
            <w:r>
              <w:rPr>
                <w:rFonts w:hint="eastAsia" w:ascii="仿宋_GB2312" w:hAnsi="宋体" w:cs="仿宋_GB2312"/>
                <w:color w:val="auto"/>
                <w:kern w:val="0"/>
                <w:sz w:val="24"/>
                <w:szCs w:val="24"/>
              </w:rPr>
              <w:t>建设。加快</w:t>
            </w:r>
            <w:r>
              <w:rPr>
                <w:rFonts w:hint="eastAsia" w:ascii="仿宋_GB2312" w:hAnsi="宋体" w:cs="仿宋_GB2312"/>
                <w:b/>
                <w:bCs/>
                <w:color w:val="auto"/>
                <w:kern w:val="0"/>
                <w:sz w:val="24"/>
                <w:szCs w:val="24"/>
              </w:rPr>
              <w:t>漳平市公铁联运智慧仓储物流园区铁路连接线</w:t>
            </w:r>
            <w:r>
              <w:rPr>
                <w:rFonts w:hint="eastAsia" w:ascii="仿宋_GB2312" w:hAnsi="宋体" w:cs="仿宋_GB2312"/>
                <w:color w:val="auto"/>
                <w:kern w:val="0"/>
                <w:sz w:val="24"/>
                <w:szCs w:val="24"/>
              </w:rPr>
              <w:t>等项目建设。</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省发改委、省铁路建设发展中心、中铁南昌局集团</w:t>
            </w:r>
          </w:p>
        </w:tc>
      </w:tr>
      <w:tr>
        <w:tblPrEx>
          <w:tblCellMar>
            <w:top w:w="0" w:type="dxa"/>
            <w:left w:w="108" w:type="dxa"/>
            <w:bottom w:w="0" w:type="dxa"/>
            <w:right w:w="108" w:type="dxa"/>
          </w:tblCellMar>
        </w:tblPrEx>
        <w:trPr>
          <w:trHeight w:val="717"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8</w:t>
            </w:r>
          </w:p>
        </w:tc>
        <w:tc>
          <w:tcPr>
            <w:tcW w:w="829" w:type="dxa"/>
            <w:vMerge w:val="restart"/>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r>
              <w:rPr>
                <w:rFonts w:hint="eastAsia" w:ascii="楷体_GB2312" w:hAnsi="楷体_GB2312" w:eastAsia="楷体_GB2312" w:cs="楷体_GB2312"/>
                <w:b/>
                <w:color w:val="auto"/>
                <w:sz w:val="24"/>
              </w:rPr>
              <w:t>推进多式联运提升</w:t>
            </w:r>
          </w:p>
        </w:tc>
        <w:tc>
          <w:tcPr>
            <w:tcW w:w="118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培育多式联运市场主体</w:t>
            </w: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推进港口、铁路经营主体采取多种形式的合作经营模式，打造多式联运公共平台。</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省铁路建设发展中心、中铁南昌局集团</w:t>
            </w:r>
          </w:p>
        </w:tc>
      </w:tr>
      <w:tr>
        <w:tblPrEx>
          <w:tblCellMar>
            <w:top w:w="0" w:type="dxa"/>
            <w:left w:w="108" w:type="dxa"/>
            <w:bottom w:w="0" w:type="dxa"/>
            <w:right w:w="108" w:type="dxa"/>
          </w:tblCellMar>
        </w:tblPrEx>
        <w:trPr>
          <w:trHeight w:val="753"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pStyle w:val="2"/>
              <w:ind w:left="0"/>
              <w:jc w:val="center"/>
              <w:rPr>
                <w:rFonts w:ascii="仿宋_GB2312" w:hAnsi="宋体" w:cs="仿宋_GB2312"/>
                <w:color w:val="auto"/>
                <w:kern w:val="0"/>
                <w:sz w:val="24"/>
                <w:szCs w:val="24"/>
              </w:rPr>
            </w:pPr>
            <w:r>
              <w:rPr>
                <w:rFonts w:hint="eastAsia" w:ascii="仿宋_GB2312" w:hAnsi="宋体" w:cs="仿宋_GB2312"/>
                <w:color w:val="auto"/>
                <w:kern w:val="0"/>
                <w:sz w:val="24"/>
                <w:szCs w:val="24"/>
              </w:rPr>
              <w:t>9</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深化多式联运“一单制”试点</w:t>
            </w: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开辟衔接向莆、衢宁、兴泉等干线铁路的海铁联运</w:t>
            </w:r>
            <w:r>
              <w:rPr>
                <w:rFonts w:hint="eastAsia" w:ascii="仿宋_GB2312" w:hAnsi="宋体" w:cs="仿宋_GB2312"/>
                <w:color w:val="auto"/>
                <w:kern w:val="0"/>
                <w:sz w:val="24"/>
                <w:lang w:eastAsia="zh-CN"/>
              </w:rPr>
              <w:t>精品线路</w:t>
            </w:r>
            <w:r>
              <w:rPr>
                <w:rFonts w:hint="eastAsia" w:ascii="仿宋_GB2312" w:hAnsi="宋体" w:cs="仿宋_GB2312"/>
                <w:color w:val="auto"/>
                <w:kern w:val="0"/>
                <w:sz w:val="24"/>
              </w:rPr>
              <w:t>。推动有条件企业开展基于多式联运单证的金融服务，支持福建自由贸易试验区探索赋予多式联运单证物权凭证功能。</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省发改委、省铁路建设发展中心、中铁南昌局集团</w:t>
            </w:r>
          </w:p>
        </w:tc>
      </w:tr>
      <w:tr>
        <w:tblPrEx>
          <w:tblCellMar>
            <w:top w:w="0" w:type="dxa"/>
            <w:left w:w="108" w:type="dxa"/>
            <w:bottom w:w="0" w:type="dxa"/>
            <w:right w:w="108" w:type="dxa"/>
          </w:tblCellMar>
        </w:tblPrEx>
        <w:trPr>
          <w:trHeight w:val="710"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pStyle w:val="2"/>
              <w:ind w:left="0"/>
              <w:jc w:val="center"/>
              <w:rPr>
                <w:rFonts w:hint="eastAsia" w:ascii="仿宋_GB2312" w:hAnsi="宋体" w:eastAsia="仿宋_GB2312" w:cs="仿宋_GB2312"/>
                <w:color w:val="auto"/>
                <w:kern w:val="0"/>
                <w:sz w:val="24"/>
                <w:szCs w:val="24"/>
                <w:lang w:val="en-US" w:eastAsia="zh-CN"/>
              </w:rPr>
            </w:pPr>
            <w:r>
              <w:rPr>
                <w:rFonts w:hint="eastAsia" w:ascii="仿宋_GB2312" w:hAnsi="宋体" w:cs="仿宋_GB2312"/>
                <w:color w:val="auto"/>
                <w:kern w:val="0"/>
                <w:sz w:val="24"/>
                <w:szCs w:val="24"/>
              </w:rPr>
              <w:t>1</w:t>
            </w:r>
            <w:r>
              <w:rPr>
                <w:rFonts w:hint="eastAsia" w:ascii="仿宋_GB2312" w:hAnsi="宋体" w:cs="仿宋_GB2312"/>
                <w:color w:val="auto"/>
                <w:kern w:val="0"/>
                <w:sz w:val="24"/>
                <w:szCs w:val="24"/>
                <w:lang w:val="en-US" w:eastAsia="zh-CN"/>
              </w:rPr>
              <w:t>0</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完善联运相关标准体系</w:t>
            </w:r>
          </w:p>
        </w:tc>
        <w:tc>
          <w:tcPr>
            <w:tcW w:w="8227" w:type="dxa"/>
            <w:tcBorders>
              <w:top w:val="single" w:color="000000" w:sz="8" w:space="0"/>
              <w:left w:val="single" w:color="000000" w:sz="8" w:space="0"/>
              <w:bottom w:val="single" w:color="000000" w:sz="8" w:space="0"/>
              <w:right w:val="single" w:color="000000" w:sz="8" w:space="0"/>
            </w:tcBorders>
            <w:vAlign w:val="center"/>
          </w:tcPr>
          <w:p>
            <w:pPr>
              <w:pStyle w:val="13"/>
              <w:spacing w:after="0"/>
              <w:ind w:left="0" w:leftChars="0" w:firstLine="0" w:firstLineChars="0"/>
              <w:jc w:val="left"/>
              <w:rPr>
                <w:rFonts w:ascii="仿宋_GB2312" w:hAnsi="宋体" w:cs="仿宋_GB2312"/>
                <w:color w:val="auto"/>
                <w:kern w:val="0"/>
                <w:sz w:val="24"/>
              </w:rPr>
            </w:pPr>
            <w:r>
              <w:rPr>
                <w:rFonts w:hint="eastAsia" w:ascii="仿宋_GB2312" w:hAnsi="宋体" w:cs="仿宋_GB2312"/>
                <w:color w:val="auto"/>
                <w:kern w:val="0"/>
                <w:sz w:val="24"/>
              </w:rPr>
              <w:t>鼓励行业协会、企业完善集装箱多式联运电子数据交换规则、多式联运服务质量评价准则等。</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省发改委、省交通运输厅、省商务厅</w:t>
            </w:r>
          </w:p>
        </w:tc>
      </w:tr>
      <w:tr>
        <w:tblPrEx>
          <w:tblCellMar>
            <w:top w:w="0" w:type="dxa"/>
            <w:left w:w="108" w:type="dxa"/>
            <w:bottom w:w="0" w:type="dxa"/>
            <w:right w:w="108" w:type="dxa"/>
          </w:tblCellMar>
        </w:tblPrEx>
        <w:trPr>
          <w:trHeight w:val="866"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pStyle w:val="2"/>
              <w:ind w:left="0"/>
              <w:jc w:val="center"/>
              <w:rPr>
                <w:rFonts w:hint="eastAsia" w:ascii="仿宋_GB2312" w:hAnsi="宋体" w:eastAsia="仿宋_GB2312" w:cs="仿宋_GB2312"/>
                <w:color w:val="auto"/>
                <w:kern w:val="0"/>
                <w:sz w:val="24"/>
                <w:szCs w:val="24"/>
                <w:lang w:val="en-US" w:eastAsia="zh-CN"/>
              </w:rPr>
            </w:pPr>
            <w:r>
              <w:rPr>
                <w:rFonts w:hint="eastAsia" w:ascii="仿宋_GB2312" w:hAnsi="宋体" w:cs="仿宋_GB2312"/>
                <w:color w:val="auto"/>
                <w:kern w:val="0"/>
                <w:sz w:val="24"/>
                <w:szCs w:val="24"/>
              </w:rPr>
              <w:t>1</w:t>
            </w:r>
            <w:r>
              <w:rPr>
                <w:rFonts w:hint="eastAsia" w:ascii="仿宋_GB2312" w:hAnsi="宋体" w:cs="仿宋_GB2312"/>
                <w:color w:val="auto"/>
                <w:kern w:val="0"/>
                <w:sz w:val="24"/>
                <w:szCs w:val="24"/>
                <w:lang w:val="en-US" w:eastAsia="zh-CN"/>
              </w:rPr>
              <w:t>1</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restart"/>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提供多元化的多式联运服务</w:t>
            </w: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增加35吨敞顶箱使用频率，实施煤炭、粮食运往闽西北、江西、湖南等内陆地区集装箱项目。</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省发改委、交通运输厅、省铁路建设发展中心、中铁南昌局集团</w:t>
            </w:r>
          </w:p>
        </w:tc>
      </w:tr>
      <w:tr>
        <w:tblPrEx>
          <w:tblCellMar>
            <w:top w:w="0" w:type="dxa"/>
            <w:left w:w="108" w:type="dxa"/>
            <w:bottom w:w="0" w:type="dxa"/>
            <w:right w:w="108" w:type="dxa"/>
          </w:tblCellMar>
        </w:tblPrEx>
        <w:trPr>
          <w:trHeight w:val="747"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pStyle w:val="2"/>
              <w:ind w:left="0"/>
              <w:jc w:val="center"/>
              <w:rPr>
                <w:rFonts w:hint="eastAsia" w:ascii="仿宋_GB2312" w:hAnsi="宋体" w:eastAsia="仿宋_GB2312" w:cs="仿宋_GB2312"/>
                <w:color w:val="auto"/>
                <w:kern w:val="0"/>
                <w:sz w:val="24"/>
                <w:szCs w:val="24"/>
                <w:lang w:val="en-US" w:eastAsia="zh-CN"/>
              </w:rPr>
            </w:pPr>
            <w:r>
              <w:rPr>
                <w:rFonts w:hint="eastAsia" w:ascii="仿宋_GB2312" w:hAnsi="宋体" w:cs="仿宋_GB2312"/>
                <w:color w:val="auto"/>
                <w:kern w:val="0"/>
                <w:sz w:val="24"/>
                <w:szCs w:val="24"/>
              </w:rPr>
              <w:t>1</w:t>
            </w:r>
            <w:r>
              <w:rPr>
                <w:rFonts w:hint="eastAsia" w:ascii="仿宋_GB2312" w:hAnsi="宋体" w:cs="仿宋_GB2312"/>
                <w:color w:val="auto"/>
                <w:kern w:val="0"/>
                <w:sz w:val="24"/>
                <w:szCs w:val="24"/>
                <w:lang w:val="en-US" w:eastAsia="zh-CN"/>
              </w:rPr>
              <w:t>2</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在厦门港、福州江阴、泉州石湖试点推广“船边直提”和“抵港直装”业务，开通支线“四定”航线（定起讫站点、定途径线路、定每日班次、定发运时间）。</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福州海关、厦门海关</w:t>
            </w:r>
          </w:p>
        </w:tc>
      </w:tr>
      <w:tr>
        <w:tblPrEx>
          <w:tblCellMar>
            <w:top w:w="0" w:type="dxa"/>
            <w:left w:w="108" w:type="dxa"/>
            <w:bottom w:w="0" w:type="dxa"/>
            <w:right w:w="108" w:type="dxa"/>
          </w:tblCellMar>
        </w:tblPrEx>
        <w:trPr>
          <w:trHeight w:val="534"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pStyle w:val="2"/>
              <w:ind w:left="0"/>
              <w:jc w:val="center"/>
              <w:rPr>
                <w:rFonts w:hint="eastAsia" w:ascii="仿宋_GB2312" w:hAnsi="宋体" w:eastAsia="仿宋_GB2312" w:cs="仿宋_GB2312"/>
                <w:color w:val="auto"/>
                <w:kern w:val="0"/>
                <w:sz w:val="24"/>
                <w:szCs w:val="24"/>
                <w:lang w:val="en-US" w:eastAsia="zh-CN"/>
              </w:rPr>
            </w:pPr>
            <w:r>
              <w:rPr>
                <w:rFonts w:hint="eastAsia" w:ascii="仿宋_GB2312" w:hAnsi="宋体" w:cs="仿宋_GB2312"/>
                <w:color w:val="auto"/>
                <w:kern w:val="0"/>
                <w:sz w:val="24"/>
                <w:szCs w:val="24"/>
              </w:rPr>
              <w:t>1</w:t>
            </w:r>
            <w:r>
              <w:rPr>
                <w:rFonts w:hint="eastAsia" w:ascii="仿宋_GB2312" w:hAnsi="宋体" w:cs="仿宋_GB2312"/>
                <w:color w:val="auto"/>
                <w:kern w:val="0"/>
                <w:sz w:val="24"/>
                <w:szCs w:val="24"/>
                <w:lang w:val="en-US" w:eastAsia="zh-CN"/>
              </w:rPr>
              <w:t>3</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restart"/>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构建“海丝”陆路大通道</w:t>
            </w: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推动形成“闽台至成渝”为主轴的东南方向运输大通道，加快形成陆海内外联动、东西双向互济的全面开放格局。</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省发改委、省交通运输厅、省铁路建设发展中心、民航福建监管局、民航厦门监管局、中铁南昌局集团</w:t>
            </w:r>
          </w:p>
        </w:tc>
      </w:tr>
      <w:tr>
        <w:tblPrEx>
          <w:tblCellMar>
            <w:top w:w="0" w:type="dxa"/>
            <w:left w:w="108" w:type="dxa"/>
            <w:bottom w:w="0" w:type="dxa"/>
            <w:right w:w="108" w:type="dxa"/>
          </w:tblCellMar>
        </w:tblPrEx>
        <w:trPr>
          <w:trHeight w:val="792"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pStyle w:val="2"/>
              <w:ind w:left="0"/>
              <w:jc w:val="center"/>
              <w:rPr>
                <w:rFonts w:hint="eastAsia" w:ascii="仿宋_GB2312" w:hAnsi="宋体" w:eastAsia="仿宋_GB2312" w:cs="仿宋_GB2312"/>
                <w:color w:val="auto"/>
                <w:kern w:val="0"/>
                <w:sz w:val="24"/>
                <w:szCs w:val="24"/>
                <w:lang w:val="en-US" w:eastAsia="zh-CN"/>
              </w:rPr>
            </w:pPr>
            <w:r>
              <w:rPr>
                <w:rFonts w:hint="eastAsia" w:ascii="仿宋_GB2312" w:hAnsi="宋体" w:cs="仿宋_GB2312"/>
                <w:color w:val="auto"/>
                <w:kern w:val="0"/>
                <w:sz w:val="24"/>
                <w:szCs w:val="24"/>
              </w:rPr>
              <w:t>1</w:t>
            </w:r>
            <w:r>
              <w:rPr>
                <w:rFonts w:hint="eastAsia" w:ascii="仿宋_GB2312" w:hAnsi="宋体" w:cs="仿宋_GB2312"/>
                <w:color w:val="auto"/>
                <w:kern w:val="0"/>
                <w:sz w:val="24"/>
                <w:szCs w:val="24"/>
                <w:lang w:val="en-US" w:eastAsia="zh-CN"/>
              </w:rPr>
              <w:t>4</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推进丝路海运港航贸一体化发展，发挥“丝路海运”港航扶持政策作用，巩固提升“丝路海运”品牌影响力。</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省发改委、省交通运输厅、省财政厅、省商务厅</w:t>
            </w:r>
          </w:p>
        </w:tc>
      </w:tr>
      <w:tr>
        <w:tblPrEx>
          <w:tblCellMar>
            <w:top w:w="0" w:type="dxa"/>
            <w:left w:w="108" w:type="dxa"/>
            <w:bottom w:w="0" w:type="dxa"/>
            <w:right w:w="108" w:type="dxa"/>
          </w:tblCellMar>
        </w:tblPrEx>
        <w:trPr>
          <w:trHeight w:val="527"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pStyle w:val="2"/>
              <w:ind w:left="0"/>
              <w:jc w:val="center"/>
              <w:rPr>
                <w:rFonts w:hint="eastAsia" w:ascii="仿宋_GB2312" w:hAnsi="宋体" w:eastAsia="仿宋_GB2312" w:cs="仿宋_GB2312"/>
                <w:color w:val="auto"/>
                <w:kern w:val="0"/>
                <w:sz w:val="24"/>
                <w:szCs w:val="24"/>
                <w:lang w:val="en-US" w:eastAsia="zh-CN"/>
              </w:rPr>
            </w:pPr>
            <w:r>
              <w:rPr>
                <w:rFonts w:hint="eastAsia" w:ascii="仿宋_GB2312" w:hAnsi="宋体" w:cs="仿宋_GB2312"/>
                <w:color w:val="auto"/>
                <w:kern w:val="0"/>
                <w:sz w:val="24"/>
                <w:szCs w:val="24"/>
              </w:rPr>
              <w:t>1</w:t>
            </w:r>
            <w:r>
              <w:rPr>
                <w:rFonts w:hint="eastAsia" w:ascii="仿宋_GB2312" w:hAnsi="宋体" w:cs="仿宋_GB2312"/>
                <w:color w:val="auto"/>
                <w:kern w:val="0"/>
                <w:sz w:val="24"/>
                <w:szCs w:val="24"/>
                <w:lang w:val="en-US" w:eastAsia="zh-CN"/>
              </w:rPr>
              <w:t>5</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加快建设中欧班列集结中心，扩大完善海外仓布局。</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省发改委、省铁路建设发展中心、中铁南昌局集团</w:t>
            </w:r>
          </w:p>
        </w:tc>
      </w:tr>
      <w:tr>
        <w:tblPrEx>
          <w:tblCellMar>
            <w:top w:w="0" w:type="dxa"/>
            <w:left w:w="108" w:type="dxa"/>
            <w:bottom w:w="0" w:type="dxa"/>
            <w:right w:w="108" w:type="dxa"/>
          </w:tblCellMar>
        </w:tblPrEx>
        <w:trPr>
          <w:trHeight w:val="90"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hint="eastAsia" w:ascii="仿宋_GB2312" w:hAnsi="宋体" w:eastAsia="仿宋_GB2312" w:cs="仿宋_GB2312"/>
                <w:color w:val="auto"/>
                <w:kern w:val="0"/>
                <w:sz w:val="24"/>
                <w:lang w:val="en-US" w:eastAsia="zh-CN"/>
              </w:rPr>
            </w:pPr>
            <w:r>
              <w:rPr>
                <w:rFonts w:hint="eastAsia" w:ascii="仿宋_GB2312" w:hAnsi="宋体" w:cs="仿宋_GB2312"/>
                <w:color w:val="auto"/>
                <w:kern w:val="0"/>
                <w:sz w:val="24"/>
              </w:rPr>
              <w:t>1</w:t>
            </w:r>
            <w:r>
              <w:rPr>
                <w:rFonts w:hint="eastAsia" w:ascii="仿宋_GB2312" w:hAnsi="宋体" w:cs="仿宋_GB2312"/>
                <w:color w:val="auto"/>
                <w:kern w:val="0"/>
                <w:sz w:val="24"/>
                <w:lang w:val="en-US" w:eastAsia="zh-CN"/>
              </w:rPr>
              <w:t>6</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围绕福建——江西——湖南、湖北等主要货运通道，引导大型物流、港航企业在内陆布局揽货网点，在内陆铁路货场设置提还箱点，大力组织</w:t>
            </w:r>
            <w:r>
              <w:rPr>
                <w:rFonts w:hint="eastAsia" w:ascii="仿宋_GB2312" w:hAnsi="宋体" w:cs="仿宋_GB2312"/>
                <w:color w:val="auto"/>
                <w:kern w:val="0"/>
                <w:sz w:val="24"/>
                <w:lang w:eastAsia="zh-CN"/>
              </w:rPr>
              <w:t>我省沿海港口</w:t>
            </w:r>
            <w:r>
              <w:rPr>
                <w:rFonts w:hint="eastAsia" w:ascii="仿宋_GB2312" w:hAnsi="宋体" w:cs="仿宋_GB2312"/>
                <w:color w:val="auto"/>
                <w:kern w:val="0"/>
                <w:sz w:val="24"/>
              </w:rPr>
              <w:t>与江西、湖南等内陆腹地间“重来重去”运输。</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省铁路建设发展中心、中铁南昌局集团、省交通运输厅</w:t>
            </w:r>
          </w:p>
        </w:tc>
      </w:tr>
      <w:tr>
        <w:tblPrEx>
          <w:tblCellMar>
            <w:top w:w="0" w:type="dxa"/>
            <w:left w:w="108" w:type="dxa"/>
            <w:bottom w:w="0" w:type="dxa"/>
            <w:right w:w="108" w:type="dxa"/>
          </w:tblCellMar>
        </w:tblPrEx>
        <w:trPr>
          <w:trHeight w:val="90"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hint="eastAsia" w:ascii="仿宋_GB2312" w:hAnsi="宋体" w:eastAsia="仿宋_GB2312" w:cs="仿宋_GB2312"/>
                <w:color w:val="auto"/>
                <w:kern w:val="0"/>
                <w:sz w:val="24"/>
                <w:lang w:val="en-US" w:eastAsia="zh-CN"/>
              </w:rPr>
            </w:pPr>
            <w:r>
              <w:rPr>
                <w:rFonts w:hint="eastAsia" w:ascii="仿宋_GB2312" w:hAnsi="宋体" w:cs="仿宋_GB2312"/>
                <w:color w:val="auto"/>
                <w:kern w:val="0"/>
                <w:sz w:val="24"/>
              </w:rPr>
              <w:t>1</w:t>
            </w:r>
            <w:r>
              <w:rPr>
                <w:rFonts w:hint="eastAsia" w:ascii="仿宋_GB2312" w:hAnsi="宋体" w:cs="仿宋_GB2312"/>
                <w:color w:val="auto"/>
                <w:kern w:val="0"/>
                <w:sz w:val="24"/>
                <w:lang w:val="en-US" w:eastAsia="zh-CN"/>
              </w:rPr>
              <w:t>7</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稳步提升港口枢纽能级</w:t>
            </w: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加快</w:t>
            </w:r>
            <w:r>
              <w:rPr>
                <w:rFonts w:hint="eastAsia" w:ascii="仿宋_GB2312" w:hAnsi="宋体" w:cs="仿宋_GB2312"/>
                <w:b/>
                <w:bCs/>
                <w:color w:val="auto"/>
                <w:kern w:val="0"/>
                <w:sz w:val="24"/>
              </w:rPr>
              <w:t>建设厦门东南国际航运中心，</w:t>
            </w:r>
            <w:r>
              <w:rPr>
                <w:rFonts w:hint="eastAsia" w:ascii="仿宋_GB2312" w:hAnsi="宋体" w:cs="仿宋_GB2312"/>
                <w:color w:val="auto"/>
                <w:kern w:val="0"/>
                <w:sz w:val="24"/>
              </w:rPr>
              <w:t>增开航线航班，吸引集装箱货物经我省港口中转，做大集装箱国际中转业务。逐步调整海沧、东渡港区散货泊位为集装箱泊位，提升国际集装箱干线港地位。</w:t>
            </w:r>
            <w:r>
              <w:rPr>
                <w:rFonts w:hint="eastAsia" w:ascii="仿宋_GB2312" w:hAnsi="宋体" w:cs="仿宋_GB2312"/>
                <w:b/>
                <w:bCs/>
                <w:color w:val="auto"/>
                <w:kern w:val="0"/>
                <w:sz w:val="24"/>
              </w:rPr>
              <w:t>建设福州国际深水大港，</w:t>
            </w:r>
            <w:r>
              <w:rPr>
                <w:rFonts w:hint="eastAsia" w:ascii="仿宋_GB2312" w:hAnsi="宋体" w:cs="仿宋_GB2312"/>
                <w:color w:val="auto"/>
                <w:kern w:val="0"/>
                <w:sz w:val="24"/>
              </w:rPr>
              <w:t>稳步推进福州港江阴港区集装箱泊位以及罗源湾可门大型干散货码头的连片开发及整合，推进</w:t>
            </w:r>
            <w:r>
              <w:rPr>
                <w:rFonts w:hint="eastAsia" w:ascii="仿宋_GB2312" w:hAnsi="宋体" w:cs="仿宋_GB2312"/>
                <w:b/>
                <w:bCs/>
                <w:color w:val="auto"/>
                <w:kern w:val="0"/>
                <w:sz w:val="24"/>
              </w:rPr>
              <w:t>罗源湾港区至后方封闭式皮带廊道系统建设。</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省发改委、省交通运输厅</w:t>
            </w:r>
          </w:p>
        </w:tc>
      </w:tr>
      <w:tr>
        <w:tblPrEx>
          <w:tblCellMar>
            <w:top w:w="0" w:type="dxa"/>
            <w:left w:w="108" w:type="dxa"/>
            <w:bottom w:w="0" w:type="dxa"/>
            <w:right w:w="108" w:type="dxa"/>
          </w:tblCellMar>
        </w:tblPrEx>
        <w:trPr>
          <w:trHeight w:val="467"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hint="eastAsia" w:ascii="仿宋_GB2312" w:hAnsi="宋体" w:eastAsia="仿宋_GB2312" w:cs="仿宋_GB2312"/>
                <w:color w:val="auto"/>
                <w:kern w:val="0"/>
                <w:sz w:val="24"/>
                <w:lang w:val="en-US" w:eastAsia="zh-CN"/>
              </w:rPr>
            </w:pPr>
            <w:r>
              <w:rPr>
                <w:rFonts w:hint="eastAsia" w:ascii="仿宋_GB2312" w:hAnsi="宋体" w:cs="仿宋_GB2312"/>
                <w:color w:val="auto"/>
                <w:kern w:val="0"/>
                <w:sz w:val="24"/>
              </w:rPr>
              <w:t>1</w:t>
            </w:r>
            <w:r>
              <w:rPr>
                <w:rFonts w:hint="eastAsia" w:ascii="仿宋_GB2312" w:hAnsi="宋体" w:cs="仿宋_GB2312"/>
                <w:color w:val="auto"/>
                <w:kern w:val="0"/>
                <w:sz w:val="24"/>
                <w:lang w:val="en-US" w:eastAsia="zh-CN"/>
              </w:rPr>
              <w:t>8</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restart"/>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构建跨境联运通道</w:t>
            </w: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加密对台对东南亚电商双向投递线路，优化省内陆地港、保税物流中心（B型）保税、通关、金融等服务，吸引四川、湖南、湖北等内陆跨境货物在我省集散。</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省发改委、省工信厅、省交通运输厅、省商务厅</w:t>
            </w:r>
          </w:p>
        </w:tc>
      </w:tr>
      <w:tr>
        <w:tblPrEx>
          <w:tblCellMar>
            <w:top w:w="0" w:type="dxa"/>
            <w:left w:w="108" w:type="dxa"/>
            <w:bottom w:w="0" w:type="dxa"/>
            <w:right w:w="108" w:type="dxa"/>
          </w:tblCellMar>
        </w:tblPrEx>
        <w:trPr>
          <w:trHeight w:val="512"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hint="default" w:ascii="仿宋_GB2312" w:hAnsi="宋体" w:eastAsia="仿宋_GB2312" w:cs="仿宋_GB2312"/>
                <w:color w:val="auto"/>
                <w:kern w:val="0"/>
                <w:sz w:val="24"/>
                <w:lang w:val="en-US" w:eastAsia="zh-CN"/>
              </w:rPr>
            </w:pPr>
            <w:r>
              <w:rPr>
                <w:rFonts w:hint="eastAsia" w:ascii="仿宋_GB2312" w:hAnsi="宋体" w:cs="仿宋_GB2312"/>
                <w:color w:val="auto"/>
                <w:kern w:val="0"/>
                <w:sz w:val="24"/>
                <w:lang w:val="en-US" w:eastAsia="zh-CN"/>
              </w:rPr>
              <w:t>19</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建设升级全省“单一窗口”，积极推动海关、边检、海事等查验单位联合登临检查。推广应用“跨境一锁”业务模式。</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福州海关、厦门海关</w:t>
            </w:r>
          </w:p>
        </w:tc>
      </w:tr>
      <w:tr>
        <w:tblPrEx>
          <w:tblCellMar>
            <w:top w:w="0" w:type="dxa"/>
            <w:left w:w="108" w:type="dxa"/>
            <w:bottom w:w="0" w:type="dxa"/>
            <w:right w:w="108" w:type="dxa"/>
          </w:tblCellMar>
        </w:tblPrEx>
        <w:trPr>
          <w:trHeight w:val="683"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hint="eastAsia" w:ascii="仿宋_GB2312" w:hAnsi="宋体" w:eastAsia="仿宋_GB2312" w:cs="仿宋_GB2312"/>
                <w:color w:val="auto"/>
                <w:kern w:val="0"/>
                <w:sz w:val="24"/>
                <w:lang w:val="en-US" w:eastAsia="zh-CN"/>
              </w:rPr>
            </w:pPr>
            <w:r>
              <w:rPr>
                <w:rFonts w:hint="eastAsia" w:ascii="仿宋_GB2312" w:hAnsi="宋体" w:cs="仿宋_GB2312"/>
                <w:color w:val="auto"/>
                <w:kern w:val="0"/>
                <w:sz w:val="24"/>
              </w:rPr>
              <w:t>2</w:t>
            </w:r>
            <w:r>
              <w:rPr>
                <w:rFonts w:hint="eastAsia" w:ascii="仿宋_GB2312" w:hAnsi="宋体" w:cs="仿宋_GB2312"/>
                <w:color w:val="auto"/>
                <w:kern w:val="0"/>
                <w:sz w:val="24"/>
                <w:lang w:val="en-US" w:eastAsia="zh-CN"/>
              </w:rPr>
              <w:t>0</w:t>
            </w:r>
          </w:p>
        </w:tc>
        <w:tc>
          <w:tcPr>
            <w:tcW w:w="829" w:type="dxa"/>
            <w:vMerge w:val="restart"/>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r>
              <w:rPr>
                <w:rFonts w:hint="eastAsia" w:ascii="楷体_GB2312" w:hAnsi="楷体_GB2312" w:eastAsia="楷体_GB2312" w:cs="楷体_GB2312"/>
                <w:b/>
                <w:color w:val="auto"/>
                <w:sz w:val="24"/>
              </w:rPr>
              <w:t>推进铁路运能挖掘</w:t>
            </w:r>
          </w:p>
        </w:tc>
        <w:tc>
          <w:tcPr>
            <w:tcW w:w="118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科学制定海铁联运价格策略</w:t>
            </w: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协调出台海铁联运支持政策，参照周边路局，实施灵活的铁路价格调整策略。对全程提单中转重箱的空箱回程运费，享受空重联运的优惠，为海铁联运船公司制定个性化集装箱空箱免费堆存方案。</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省发改委、省铁路建设发展中心、中铁南昌局集团</w:t>
            </w:r>
          </w:p>
        </w:tc>
      </w:tr>
      <w:tr>
        <w:tblPrEx>
          <w:tblCellMar>
            <w:top w:w="0" w:type="dxa"/>
            <w:left w:w="108" w:type="dxa"/>
            <w:bottom w:w="0" w:type="dxa"/>
            <w:right w:w="108" w:type="dxa"/>
          </w:tblCellMar>
        </w:tblPrEx>
        <w:trPr>
          <w:trHeight w:val="945" w:hRule="atLeast"/>
        </w:trPr>
        <w:tc>
          <w:tcPr>
            <w:tcW w:w="753"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hint="eastAsia" w:ascii="仿宋_GB2312" w:hAnsi="宋体" w:eastAsia="仿宋_GB2312" w:cs="仿宋_GB2312"/>
                <w:color w:val="auto"/>
                <w:kern w:val="0"/>
                <w:sz w:val="24"/>
                <w:lang w:val="en-US" w:eastAsia="zh-CN"/>
              </w:rPr>
            </w:pPr>
            <w:r>
              <w:rPr>
                <w:rFonts w:hint="eastAsia" w:ascii="仿宋_GB2312" w:hAnsi="宋体" w:cs="仿宋_GB2312"/>
                <w:color w:val="auto"/>
                <w:kern w:val="0"/>
                <w:sz w:val="24"/>
              </w:rPr>
              <w:t>2</w:t>
            </w:r>
            <w:r>
              <w:rPr>
                <w:rFonts w:hint="eastAsia" w:ascii="仿宋_GB2312" w:hAnsi="宋体" w:cs="仿宋_GB2312"/>
                <w:color w:val="auto"/>
                <w:kern w:val="0"/>
                <w:sz w:val="24"/>
                <w:lang w:val="en-US" w:eastAsia="zh-CN"/>
              </w:rPr>
              <w:t>1</w:t>
            </w:r>
          </w:p>
        </w:tc>
        <w:tc>
          <w:tcPr>
            <w:tcW w:w="829" w:type="dxa"/>
            <w:vMerge w:val="continue"/>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进一步提升联运服务质效</w:t>
            </w:r>
          </w:p>
        </w:tc>
        <w:tc>
          <w:tcPr>
            <w:tcW w:w="8227"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支持大型企业大宗货物“散改集”，在江阴港、可门港等地后方铁路货运站，培育向塘发往厦门港海铁联运“天天班列”等全货运“五定”铁路班列。优化铁路运行图，加密货运班次，根据实际需求改造铁路支线及相关货场。铁路部门要建立运价协调联动机制，通过联合营销、“一企一策”“一货一策”等方式提升联运竞争力。</w:t>
            </w:r>
          </w:p>
        </w:tc>
        <w:tc>
          <w:tcPr>
            <w:tcW w:w="4109"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省发改委、省铁路建设发展中心、中铁南昌局集团、省商务厅</w:t>
            </w:r>
          </w:p>
        </w:tc>
      </w:tr>
      <w:tr>
        <w:tblPrEx>
          <w:tblCellMar>
            <w:top w:w="0" w:type="dxa"/>
            <w:left w:w="108" w:type="dxa"/>
            <w:bottom w:w="0" w:type="dxa"/>
            <w:right w:w="108" w:type="dxa"/>
          </w:tblCellMar>
        </w:tblPrEx>
        <w:trPr>
          <w:trHeight w:val="183" w:hRule="atLeast"/>
        </w:trPr>
        <w:tc>
          <w:tcPr>
            <w:tcW w:w="753" w:type="dxa"/>
            <w:tcBorders>
              <w:top w:val="single" w:color="000000" w:sz="8" w:space="0"/>
              <w:left w:val="single" w:color="000000" w:sz="8" w:space="0"/>
              <w:bottom w:val="single" w:color="auto" w:sz="4" w:space="0"/>
              <w:right w:val="single" w:color="000000" w:sz="8" w:space="0"/>
            </w:tcBorders>
            <w:vAlign w:val="center"/>
          </w:tcPr>
          <w:p>
            <w:pPr>
              <w:widowControl/>
              <w:ind w:firstLine="0" w:firstLineChars="0"/>
              <w:jc w:val="center"/>
              <w:textAlignment w:val="center"/>
              <w:rPr>
                <w:rFonts w:hint="eastAsia" w:ascii="仿宋_GB2312" w:hAnsi="宋体" w:eastAsia="仿宋_GB2312" w:cs="仿宋_GB2312"/>
                <w:color w:val="auto"/>
                <w:kern w:val="0"/>
                <w:sz w:val="24"/>
                <w:lang w:val="en-US" w:eastAsia="zh-CN"/>
              </w:rPr>
            </w:pPr>
            <w:r>
              <w:rPr>
                <w:rFonts w:hint="eastAsia" w:ascii="仿宋_GB2312" w:hAnsi="宋体" w:cs="仿宋_GB2312"/>
                <w:color w:val="auto"/>
                <w:kern w:val="0"/>
                <w:sz w:val="24"/>
              </w:rPr>
              <w:t>2</w:t>
            </w:r>
            <w:r>
              <w:rPr>
                <w:rFonts w:hint="eastAsia" w:ascii="仿宋_GB2312" w:hAnsi="宋体" w:cs="仿宋_GB2312"/>
                <w:color w:val="auto"/>
                <w:kern w:val="0"/>
                <w:sz w:val="24"/>
                <w:lang w:val="en-US" w:eastAsia="zh-CN"/>
              </w:rPr>
              <w:t>2</w:t>
            </w:r>
          </w:p>
        </w:tc>
        <w:tc>
          <w:tcPr>
            <w:tcW w:w="829" w:type="dxa"/>
            <w:vMerge w:val="continue"/>
            <w:tcBorders>
              <w:top w:val="single" w:color="000000" w:sz="8" w:space="0"/>
              <w:left w:val="single" w:color="000000" w:sz="8" w:space="0"/>
              <w:bottom w:val="single" w:color="auto" w:sz="4" w:space="0"/>
              <w:right w:val="single" w:color="000000" w:sz="8"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tcBorders>
              <w:top w:val="single" w:color="000000" w:sz="8" w:space="0"/>
              <w:left w:val="single" w:color="000000" w:sz="8" w:space="0"/>
              <w:bottom w:val="single" w:color="auto" w:sz="4" w:space="0"/>
              <w:right w:val="single" w:color="000000" w:sz="8"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打造海铁联运精品线路</w:t>
            </w:r>
          </w:p>
        </w:tc>
        <w:tc>
          <w:tcPr>
            <w:tcW w:w="8227" w:type="dxa"/>
            <w:tcBorders>
              <w:top w:val="single" w:color="000000" w:sz="8" w:space="0"/>
              <w:left w:val="single" w:color="000000" w:sz="8" w:space="0"/>
              <w:bottom w:val="single" w:color="auto" w:sz="4" w:space="0"/>
              <w:right w:val="single" w:color="000000" w:sz="8"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铁路部门在全省遴选三明、漳平到厦门港的海铁联运班列、漳泉厦地区开往成渝的定点班列等10条左右联运品牌线路。</w:t>
            </w:r>
          </w:p>
        </w:tc>
        <w:tc>
          <w:tcPr>
            <w:tcW w:w="4109" w:type="dxa"/>
            <w:tcBorders>
              <w:top w:val="single" w:color="000000" w:sz="8" w:space="0"/>
              <w:left w:val="single" w:color="000000" w:sz="8" w:space="0"/>
              <w:bottom w:val="single" w:color="auto" w:sz="4" w:space="0"/>
              <w:right w:val="single" w:color="000000" w:sz="8"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省铁路建设发展中心、中铁南昌局集团</w:t>
            </w:r>
          </w:p>
        </w:tc>
      </w:tr>
      <w:tr>
        <w:tblPrEx>
          <w:tblCellMar>
            <w:top w:w="0" w:type="dxa"/>
            <w:left w:w="108" w:type="dxa"/>
            <w:bottom w:w="0" w:type="dxa"/>
            <w:right w:w="108" w:type="dxa"/>
          </w:tblCellMar>
        </w:tblPrEx>
        <w:trPr>
          <w:trHeight w:val="546" w:hRule="atLeast"/>
        </w:trPr>
        <w:tc>
          <w:tcPr>
            <w:tcW w:w="75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ascii="仿宋_GB2312" w:hAnsi="宋体" w:eastAsia="仿宋_GB2312" w:cs="仿宋_GB2312"/>
                <w:color w:val="auto"/>
                <w:kern w:val="0"/>
                <w:sz w:val="24"/>
                <w:lang w:val="en-US" w:eastAsia="zh-CN"/>
              </w:rPr>
            </w:pPr>
            <w:r>
              <w:rPr>
                <w:rFonts w:hint="eastAsia" w:ascii="仿宋_GB2312" w:hAnsi="宋体" w:cs="仿宋_GB2312"/>
                <w:color w:val="auto"/>
                <w:kern w:val="0"/>
                <w:sz w:val="24"/>
              </w:rPr>
              <w:t>2</w:t>
            </w:r>
            <w:r>
              <w:rPr>
                <w:rFonts w:hint="eastAsia" w:ascii="仿宋_GB2312" w:hAnsi="宋体" w:cs="仿宋_GB2312"/>
                <w:color w:val="auto"/>
                <w:kern w:val="0"/>
                <w:sz w:val="24"/>
                <w:lang w:val="en-US" w:eastAsia="zh-CN"/>
              </w:rPr>
              <w:t>3</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楷体_GB2312" w:hAnsi="楷体_GB2312" w:eastAsia="楷体_GB2312" w:cs="楷体_GB2312"/>
                <w:b/>
                <w:color w:val="auto"/>
                <w:sz w:val="24"/>
              </w:rPr>
            </w:pPr>
            <w:r>
              <w:rPr>
                <w:rFonts w:hint="eastAsia" w:ascii="楷体_GB2312" w:hAnsi="楷体_GB2312" w:eastAsia="楷体_GB2312" w:cs="楷体_GB2312"/>
                <w:b/>
                <w:color w:val="auto"/>
                <w:sz w:val="24"/>
              </w:rPr>
              <w:t>推进要素、政策融合</w:t>
            </w:r>
          </w:p>
        </w:tc>
        <w:tc>
          <w:tcPr>
            <w:tcW w:w="1189"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加快要素融合</w:t>
            </w:r>
          </w:p>
        </w:tc>
        <w:tc>
          <w:tcPr>
            <w:tcW w:w="82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加快推动公路、铁路、水路、航空等企业，通过股权合作、数据交易、资源置换等市场化机制，依法依规共享多式联运数据。</w:t>
            </w:r>
          </w:p>
        </w:tc>
        <w:tc>
          <w:tcPr>
            <w:tcW w:w="410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省发改委、省交通运输厅、民航福建监管局、民航厦门监管局、中铁南昌局集团</w:t>
            </w:r>
          </w:p>
        </w:tc>
      </w:tr>
      <w:tr>
        <w:tblPrEx>
          <w:tblCellMar>
            <w:top w:w="0" w:type="dxa"/>
            <w:left w:w="108" w:type="dxa"/>
            <w:bottom w:w="0" w:type="dxa"/>
            <w:right w:w="108" w:type="dxa"/>
          </w:tblCellMar>
        </w:tblPrEx>
        <w:trPr>
          <w:trHeight w:val="284" w:hRule="atLeast"/>
        </w:trPr>
        <w:tc>
          <w:tcPr>
            <w:tcW w:w="75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ascii="仿宋_GB2312" w:hAnsi="宋体" w:eastAsia="仿宋_GB2312" w:cs="仿宋_GB2312"/>
                <w:color w:val="auto"/>
                <w:kern w:val="0"/>
                <w:sz w:val="24"/>
                <w:lang w:val="en-US" w:eastAsia="zh-CN"/>
              </w:rPr>
            </w:pPr>
            <w:r>
              <w:rPr>
                <w:rFonts w:hint="eastAsia" w:ascii="仿宋_GB2312" w:hAnsi="宋体" w:cs="仿宋_GB2312"/>
                <w:color w:val="auto"/>
                <w:kern w:val="0"/>
                <w:sz w:val="24"/>
              </w:rPr>
              <w:t>2</w:t>
            </w:r>
            <w:r>
              <w:rPr>
                <w:rFonts w:hint="eastAsia" w:ascii="仿宋_GB2312" w:hAnsi="宋体" w:cs="仿宋_GB2312"/>
                <w:color w:val="auto"/>
                <w:kern w:val="0"/>
                <w:sz w:val="24"/>
                <w:lang w:val="en-US" w:eastAsia="zh-CN"/>
              </w:rPr>
              <w:t>4</w:t>
            </w: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支持在具备条件的高速公路出入口附近和服务区周边，统筹规划建设一批高速公路中转货运场站和物流服务中心。</w:t>
            </w:r>
          </w:p>
        </w:tc>
        <w:tc>
          <w:tcPr>
            <w:tcW w:w="410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省交通运输厅、省发改委、省自然资源厅、省住建厅、省高速集团</w:t>
            </w:r>
          </w:p>
        </w:tc>
      </w:tr>
      <w:tr>
        <w:tblPrEx>
          <w:tblCellMar>
            <w:top w:w="0" w:type="dxa"/>
            <w:left w:w="108" w:type="dxa"/>
            <w:bottom w:w="0" w:type="dxa"/>
            <w:right w:w="108" w:type="dxa"/>
          </w:tblCellMar>
        </w:tblPrEx>
        <w:trPr>
          <w:trHeight w:val="668" w:hRule="atLeast"/>
        </w:trPr>
        <w:tc>
          <w:tcPr>
            <w:tcW w:w="75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ascii="仿宋_GB2312" w:hAnsi="宋体" w:eastAsia="仿宋_GB2312" w:cs="仿宋_GB2312"/>
                <w:color w:val="auto"/>
                <w:kern w:val="0"/>
                <w:sz w:val="24"/>
                <w:lang w:val="en-US" w:eastAsia="zh-CN"/>
              </w:rPr>
            </w:pPr>
            <w:r>
              <w:rPr>
                <w:rFonts w:hint="eastAsia" w:ascii="仿宋_GB2312" w:hAnsi="宋体" w:cs="仿宋_GB2312"/>
                <w:color w:val="auto"/>
                <w:kern w:val="0"/>
                <w:sz w:val="24"/>
              </w:rPr>
              <w:t>2</w:t>
            </w:r>
            <w:r>
              <w:rPr>
                <w:rFonts w:hint="eastAsia" w:ascii="仿宋_GB2312" w:hAnsi="宋体" w:cs="仿宋_GB2312"/>
                <w:color w:val="auto"/>
                <w:kern w:val="0"/>
                <w:sz w:val="24"/>
                <w:lang w:val="en-US" w:eastAsia="zh-CN"/>
              </w:rPr>
              <w:t>5</w:t>
            </w: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鼓励依托城市铁路场站、公路客运站、城市公交首末站等资源延伸拓展快递收发分拣和城市物流配送等服务功能。</w:t>
            </w:r>
          </w:p>
        </w:tc>
        <w:tc>
          <w:tcPr>
            <w:tcW w:w="410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省交通运输厅、省发改委、中铁南昌局集团</w:t>
            </w:r>
          </w:p>
        </w:tc>
      </w:tr>
      <w:tr>
        <w:tblPrEx>
          <w:tblCellMar>
            <w:top w:w="0" w:type="dxa"/>
            <w:left w:w="108" w:type="dxa"/>
            <w:bottom w:w="0" w:type="dxa"/>
            <w:right w:w="108" w:type="dxa"/>
          </w:tblCellMar>
        </w:tblPrEx>
        <w:trPr>
          <w:trHeight w:val="668" w:hRule="atLeast"/>
        </w:trPr>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textAlignment w:val="center"/>
              <w:rPr>
                <w:rFonts w:hint="eastAsia" w:ascii="仿宋_GB2312" w:hAnsi="宋体" w:eastAsia="仿宋_GB2312" w:cs="仿宋_GB2312"/>
                <w:color w:val="auto"/>
                <w:kern w:val="0"/>
                <w:sz w:val="24"/>
                <w:lang w:val="en-US" w:eastAsia="zh-CN"/>
              </w:rPr>
            </w:pPr>
            <w:r>
              <w:rPr>
                <w:rFonts w:hint="eastAsia" w:ascii="仿宋_GB2312" w:hAnsi="宋体" w:cs="仿宋_GB2312"/>
                <w:color w:val="auto"/>
                <w:kern w:val="0"/>
                <w:sz w:val="24"/>
              </w:rPr>
              <w:t>2</w:t>
            </w:r>
            <w:r>
              <w:rPr>
                <w:rFonts w:hint="eastAsia" w:ascii="仿宋_GB2312" w:hAnsi="宋体" w:cs="仿宋_GB2312"/>
                <w:color w:val="auto"/>
                <w:kern w:val="0"/>
                <w:sz w:val="24"/>
                <w:lang w:val="en-US" w:eastAsia="zh-CN"/>
              </w:rPr>
              <w:t>6</w:t>
            </w:r>
          </w:p>
        </w:tc>
        <w:tc>
          <w:tcPr>
            <w:tcW w:w="8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用好客货邮融合省级奖补资金，推进农村客货邮融合发展，建设乡、村客货邮融合站点，开通客货邮融合线路，提升可持续发展能力。</w:t>
            </w:r>
          </w:p>
        </w:tc>
        <w:tc>
          <w:tcPr>
            <w:tcW w:w="41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省交通运输厅、省邮政管理局、</w:t>
            </w:r>
            <w:r>
              <w:rPr>
                <w:rFonts w:hint="eastAsia" w:ascii="仿宋_GB2312" w:hAnsi="宋体" w:cs="仿宋_GB2312"/>
                <w:color w:val="auto"/>
                <w:kern w:val="0"/>
                <w:sz w:val="24"/>
                <w:lang w:eastAsia="zh-CN"/>
              </w:rPr>
              <w:t>省</w:t>
            </w:r>
            <w:r>
              <w:rPr>
                <w:rFonts w:hint="eastAsia" w:ascii="仿宋_GB2312" w:hAnsi="宋体" w:cs="仿宋_GB2312"/>
                <w:color w:val="auto"/>
                <w:kern w:val="0"/>
                <w:sz w:val="24"/>
              </w:rPr>
              <w:t>邮政</w:t>
            </w:r>
            <w:r>
              <w:rPr>
                <w:rFonts w:hint="eastAsia" w:ascii="仿宋_GB2312" w:hAnsi="宋体" w:cs="仿宋_GB2312"/>
                <w:color w:val="auto"/>
                <w:kern w:val="0"/>
                <w:sz w:val="24"/>
                <w:lang w:eastAsia="zh-CN"/>
              </w:rPr>
              <w:t>分</w:t>
            </w:r>
            <w:r>
              <w:rPr>
                <w:rFonts w:hint="eastAsia" w:ascii="仿宋_GB2312" w:hAnsi="宋体" w:cs="仿宋_GB2312"/>
                <w:color w:val="auto"/>
                <w:kern w:val="0"/>
                <w:sz w:val="24"/>
              </w:rPr>
              <w:t>公司</w:t>
            </w:r>
          </w:p>
        </w:tc>
      </w:tr>
      <w:tr>
        <w:tblPrEx>
          <w:tblCellMar>
            <w:top w:w="0" w:type="dxa"/>
            <w:left w:w="108" w:type="dxa"/>
            <w:bottom w:w="0" w:type="dxa"/>
            <w:right w:w="108" w:type="dxa"/>
          </w:tblCellMar>
        </w:tblPrEx>
        <w:trPr>
          <w:trHeight w:val="825" w:hRule="atLeast"/>
        </w:trPr>
        <w:tc>
          <w:tcPr>
            <w:tcW w:w="75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ascii="仿宋_GB2312" w:hAnsi="宋体" w:eastAsia="仿宋_GB2312" w:cs="仿宋_GB2312"/>
                <w:color w:val="auto"/>
                <w:kern w:val="0"/>
                <w:sz w:val="24"/>
                <w:lang w:val="en-US" w:eastAsia="zh-CN"/>
              </w:rPr>
            </w:pPr>
            <w:r>
              <w:rPr>
                <w:rFonts w:hint="eastAsia" w:ascii="仿宋_GB2312" w:hAnsi="宋体" w:cs="仿宋_GB2312"/>
                <w:color w:val="auto"/>
                <w:kern w:val="0"/>
                <w:sz w:val="24"/>
              </w:rPr>
              <w:t>2</w:t>
            </w:r>
            <w:r>
              <w:rPr>
                <w:rFonts w:hint="eastAsia" w:ascii="仿宋_GB2312" w:hAnsi="宋体" w:cs="仿宋_GB2312"/>
                <w:color w:val="auto"/>
                <w:kern w:val="0"/>
                <w:sz w:val="24"/>
                <w:lang w:val="en-US" w:eastAsia="zh-CN"/>
              </w:rPr>
              <w:t>7</w:t>
            </w: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加快政策融合</w:t>
            </w:r>
          </w:p>
        </w:tc>
        <w:tc>
          <w:tcPr>
            <w:tcW w:w="82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用活用好“丝路海运”专项扶持资金，按当年度经我省沿海港口进出的海铁联运集装箱重箱数量，对实际承揽海铁联运集装箱的企业进行分档奖励。持续用好国家综合货运枢纽补链强链政策，加大对联运项目建设和运营的支持力度。</w:t>
            </w:r>
          </w:p>
        </w:tc>
        <w:tc>
          <w:tcPr>
            <w:tcW w:w="410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省交通运输厅、省发改委、省财政厅</w:t>
            </w:r>
          </w:p>
        </w:tc>
      </w:tr>
      <w:tr>
        <w:tblPrEx>
          <w:tblCellMar>
            <w:top w:w="0" w:type="dxa"/>
            <w:left w:w="108" w:type="dxa"/>
            <w:bottom w:w="0" w:type="dxa"/>
            <w:right w:w="108" w:type="dxa"/>
          </w:tblCellMar>
        </w:tblPrEx>
        <w:trPr>
          <w:trHeight w:val="745" w:hRule="atLeast"/>
        </w:trPr>
        <w:tc>
          <w:tcPr>
            <w:tcW w:w="753" w:type="dxa"/>
            <w:tcBorders>
              <w:top w:val="single" w:color="auto" w:sz="4" w:space="0"/>
              <w:left w:val="single" w:color="auto" w:sz="4" w:space="0"/>
              <w:bottom w:val="single" w:color="auto" w:sz="4" w:space="0"/>
              <w:right w:val="single" w:color="auto" w:sz="4" w:space="0"/>
            </w:tcBorders>
            <w:vAlign w:val="center"/>
          </w:tcPr>
          <w:p>
            <w:pPr>
              <w:pStyle w:val="2"/>
              <w:jc w:val="both"/>
              <w:rPr>
                <w:rFonts w:hint="eastAsia" w:ascii="仿宋_GB2312" w:hAnsi="宋体" w:eastAsia="仿宋_GB2312" w:cs="仿宋_GB2312"/>
                <w:color w:val="auto"/>
                <w:kern w:val="0"/>
                <w:sz w:val="24"/>
                <w:szCs w:val="24"/>
                <w:lang w:val="en-US" w:eastAsia="zh-CN"/>
              </w:rPr>
            </w:pPr>
            <w:r>
              <w:rPr>
                <w:rFonts w:hint="eastAsia" w:ascii="仿宋_GB2312" w:hAnsi="宋体" w:cs="仿宋_GB2312"/>
                <w:color w:val="auto"/>
                <w:kern w:val="0"/>
                <w:sz w:val="24"/>
                <w:szCs w:val="24"/>
              </w:rPr>
              <w:t>2</w:t>
            </w:r>
            <w:r>
              <w:rPr>
                <w:rFonts w:hint="eastAsia" w:ascii="仿宋_GB2312" w:hAnsi="宋体" w:cs="仿宋_GB2312"/>
                <w:color w:val="auto"/>
                <w:kern w:val="0"/>
                <w:sz w:val="24"/>
                <w:szCs w:val="24"/>
                <w:lang w:val="en-US" w:eastAsia="zh-CN"/>
              </w:rPr>
              <w:t>8</w:t>
            </w: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用好大规模设备更新配套政策，提升运输煤炭、铁矿石等大宗货物绿色疏运比例。</w:t>
            </w:r>
          </w:p>
        </w:tc>
        <w:tc>
          <w:tcPr>
            <w:tcW w:w="410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省财政厅、省交通运输厅</w:t>
            </w:r>
          </w:p>
        </w:tc>
      </w:tr>
      <w:tr>
        <w:tblPrEx>
          <w:tblCellMar>
            <w:top w:w="0" w:type="dxa"/>
            <w:left w:w="108" w:type="dxa"/>
            <w:bottom w:w="0" w:type="dxa"/>
            <w:right w:w="108" w:type="dxa"/>
          </w:tblCellMar>
        </w:tblPrEx>
        <w:trPr>
          <w:trHeight w:val="308" w:hRule="atLeast"/>
        </w:trPr>
        <w:tc>
          <w:tcPr>
            <w:tcW w:w="753" w:type="dxa"/>
            <w:tcBorders>
              <w:top w:val="single" w:color="auto" w:sz="4" w:space="0"/>
              <w:left w:val="single" w:color="auto" w:sz="4" w:space="0"/>
              <w:bottom w:val="single" w:color="auto" w:sz="4" w:space="0"/>
              <w:right w:val="single" w:color="auto" w:sz="4" w:space="0"/>
            </w:tcBorders>
            <w:vAlign w:val="center"/>
          </w:tcPr>
          <w:p>
            <w:pPr>
              <w:pStyle w:val="2"/>
              <w:jc w:val="both"/>
              <w:rPr>
                <w:rFonts w:hint="default" w:ascii="仿宋_GB2312" w:hAnsi="宋体" w:eastAsia="仿宋_GB2312" w:cs="仿宋_GB2312"/>
                <w:color w:val="auto"/>
                <w:kern w:val="0"/>
                <w:sz w:val="24"/>
                <w:szCs w:val="24"/>
                <w:lang w:val="en-US" w:eastAsia="zh-CN"/>
              </w:rPr>
            </w:pPr>
            <w:r>
              <w:rPr>
                <w:rFonts w:hint="eastAsia" w:ascii="仿宋_GB2312" w:hAnsi="宋体" w:cs="仿宋_GB2312"/>
                <w:color w:val="auto"/>
                <w:kern w:val="0"/>
                <w:sz w:val="24"/>
                <w:szCs w:val="24"/>
                <w:lang w:val="en-US" w:eastAsia="zh-CN"/>
              </w:rPr>
              <w:t>29</w:t>
            </w: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积极争取地方人民政府支持，出台支持多种运输方式协同、提高综合运输效率、便利新能源和清洁能源车船通行等政策。</w:t>
            </w:r>
          </w:p>
        </w:tc>
        <w:tc>
          <w:tcPr>
            <w:tcW w:w="410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省发改委、省公安厅、省财政厅、自然资源厅、省住建厅、省交通运输厅、省高速集团</w:t>
            </w:r>
          </w:p>
        </w:tc>
      </w:tr>
      <w:tr>
        <w:tblPrEx>
          <w:tblCellMar>
            <w:top w:w="0" w:type="dxa"/>
            <w:left w:w="108" w:type="dxa"/>
            <w:bottom w:w="0" w:type="dxa"/>
            <w:right w:w="108" w:type="dxa"/>
          </w:tblCellMar>
        </w:tblPrEx>
        <w:trPr>
          <w:trHeight w:val="1577" w:hRule="atLeast"/>
        </w:trPr>
        <w:tc>
          <w:tcPr>
            <w:tcW w:w="753" w:type="dxa"/>
            <w:tcBorders>
              <w:top w:val="single" w:color="auto" w:sz="4" w:space="0"/>
              <w:left w:val="single" w:color="auto" w:sz="4" w:space="0"/>
              <w:bottom w:val="single" w:color="auto" w:sz="4" w:space="0"/>
              <w:right w:val="single" w:color="auto" w:sz="4" w:space="0"/>
            </w:tcBorders>
            <w:vAlign w:val="center"/>
          </w:tcPr>
          <w:p>
            <w:pPr>
              <w:pStyle w:val="2"/>
              <w:jc w:val="both"/>
              <w:rPr>
                <w:rFonts w:hint="eastAsia" w:ascii="仿宋_GB2312" w:hAnsi="宋体" w:eastAsia="仿宋_GB2312" w:cs="仿宋_GB2312"/>
                <w:color w:val="auto"/>
                <w:kern w:val="0"/>
                <w:sz w:val="24"/>
                <w:szCs w:val="24"/>
                <w:lang w:val="en-US" w:eastAsia="zh-CN"/>
              </w:rPr>
            </w:pPr>
            <w:r>
              <w:rPr>
                <w:rFonts w:hint="eastAsia" w:ascii="仿宋_GB2312" w:hAnsi="宋体" w:cs="仿宋_GB2312"/>
                <w:color w:val="auto"/>
                <w:kern w:val="0"/>
                <w:sz w:val="24"/>
                <w:szCs w:val="24"/>
              </w:rPr>
              <w:t>3</w:t>
            </w:r>
            <w:r>
              <w:rPr>
                <w:rFonts w:hint="eastAsia" w:ascii="仿宋_GB2312" w:hAnsi="宋体" w:cs="仿宋_GB2312"/>
                <w:color w:val="auto"/>
                <w:kern w:val="0"/>
                <w:sz w:val="24"/>
                <w:szCs w:val="24"/>
                <w:lang w:val="en-US" w:eastAsia="zh-CN"/>
              </w:rPr>
              <w:t>0</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楷体_GB2312" w:hAnsi="楷体_GB2312" w:eastAsia="楷体_GB2312" w:cs="楷体_GB2312"/>
                <w:b/>
                <w:color w:val="auto"/>
                <w:sz w:val="24"/>
              </w:rPr>
            </w:pPr>
            <w:r>
              <w:rPr>
                <w:rFonts w:hint="eastAsia" w:ascii="楷体_GB2312" w:hAnsi="楷体_GB2312" w:eastAsia="楷体_GB2312" w:cs="楷体_GB2312"/>
                <w:b/>
                <w:color w:val="auto"/>
                <w:sz w:val="24"/>
              </w:rPr>
              <w:t>推进运输信息化建设</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优化物流市场营商环境</w:t>
            </w:r>
          </w:p>
        </w:tc>
        <w:tc>
          <w:tcPr>
            <w:tcW w:w="82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依托国家政务服务平台建设，扩大电子证照应用范围，提升行政审批事项“跨省通办”便捷度。加快高频政务服务事项“掌上办”和“数据最多采一次”。拓展道路经营许可证网上办理服务，实现经营</w:t>
            </w:r>
            <w:r>
              <w:rPr>
                <w:rFonts w:hint="eastAsia" w:ascii="仿宋_GB2312" w:hAnsi="宋体" w:cs="仿宋_GB2312"/>
                <w:color w:val="auto"/>
                <w:kern w:val="0"/>
                <w:sz w:val="24"/>
                <w:lang w:eastAsia="zh-CN"/>
              </w:rPr>
              <w:t>业</w:t>
            </w:r>
            <w:r>
              <w:rPr>
                <w:rFonts w:hint="eastAsia" w:ascii="仿宋_GB2312" w:hAnsi="宋体" w:cs="仿宋_GB2312"/>
                <w:color w:val="auto"/>
                <w:kern w:val="0"/>
                <w:sz w:val="24"/>
              </w:rPr>
              <w:t>户、营运车辆、从业人员业务全覆盖。推进道路货物运输企业“一件事”办理。推动道路运输公共数据依法依规汇聚、治理、共享。开展道路货运行业信用评价工作。</w:t>
            </w:r>
          </w:p>
        </w:tc>
        <w:tc>
          <w:tcPr>
            <w:tcW w:w="410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省交通运输厅、省发改委、省商务厅、省数据管理局、省大数据集团</w:t>
            </w:r>
          </w:p>
        </w:tc>
      </w:tr>
      <w:tr>
        <w:tblPrEx>
          <w:tblCellMar>
            <w:top w:w="0" w:type="dxa"/>
            <w:left w:w="108" w:type="dxa"/>
            <w:bottom w:w="0" w:type="dxa"/>
            <w:right w:w="108" w:type="dxa"/>
          </w:tblCellMar>
        </w:tblPrEx>
        <w:trPr>
          <w:trHeight w:val="784" w:hRule="atLeast"/>
        </w:trPr>
        <w:tc>
          <w:tcPr>
            <w:tcW w:w="753" w:type="dxa"/>
            <w:tcBorders>
              <w:top w:val="single" w:color="auto" w:sz="4" w:space="0"/>
              <w:left w:val="single" w:color="auto" w:sz="4" w:space="0"/>
              <w:bottom w:val="single" w:color="auto" w:sz="4" w:space="0"/>
              <w:right w:val="single" w:color="auto" w:sz="4" w:space="0"/>
            </w:tcBorders>
            <w:vAlign w:val="center"/>
          </w:tcPr>
          <w:p>
            <w:pPr>
              <w:pStyle w:val="2"/>
              <w:jc w:val="both"/>
              <w:rPr>
                <w:rFonts w:hint="eastAsia" w:ascii="仿宋_GB2312" w:hAnsi="宋体" w:eastAsia="仿宋_GB2312" w:cs="仿宋_GB2312"/>
                <w:color w:val="auto"/>
                <w:kern w:val="0"/>
                <w:sz w:val="24"/>
                <w:szCs w:val="24"/>
                <w:lang w:val="en-US" w:eastAsia="zh-CN"/>
              </w:rPr>
            </w:pPr>
            <w:r>
              <w:rPr>
                <w:rFonts w:hint="eastAsia" w:ascii="仿宋_GB2312" w:hAnsi="宋体" w:cs="仿宋_GB2312"/>
                <w:color w:val="auto"/>
                <w:kern w:val="0"/>
                <w:sz w:val="24"/>
                <w:szCs w:val="24"/>
              </w:rPr>
              <w:t>3</w:t>
            </w:r>
            <w:r>
              <w:rPr>
                <w:rFonts w:hint="eastAsia" w:ascii="仿宋_GB2312" w:hAnsi="宋体" w:cs="仿宋_GB2312"/>
                <w:color w:val="auto"/>
                <w:kern w:val="0"/>
                <w:sz w:val="24"/>
                <w:szCs w:val="24"/>
                <w:lang w:val="en-US" w:eastAsia="zh-CN"/>
              </w:rPr>
              <w:t>1</w:t>
            </w: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b/>
                <w:bCs/>
                <w:color w:val="auto"/>
                <w:kern w:val="0"/>
                <w:sz w:val="24"/>
              </w:rPr>
            </w:pPr>
            <w:r>
              <w:rPr>
                <w:rFonts w:hint="eastAsia" w:ascii="仿宋_GB2312" w:hAnsi="宋体" w:cs="仿宋_GB2312"/>
                <w:b/>
                <w:bCs/>
                <w:color w:val="auto"/>
                <w:kern w:val="0"/>
                <w:sz w:val="24"/>
              </w:rPr>
              <w:t>推动联运信息互联互通</w:t>
            </w:r>
          </w:p>
        </w:tc>
        <w:tc>
          <w:tcPr>
            <w:tcW w:w="82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推动福建港口物流信息平台、厦门港智慧物流信息系统升级、厦门新机场货运信息化系统工程、福州港智慧港平台、石狮多式联运智能应用平台V2.0等信息化项目建设。</w:t>
            </w:r>
          </w:p>
        </w:tc>
        <w:tc>
          <w:tcPr>
            <w:tcW w:w="410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color w:val="auto"/>
                <w:kern w:val="0"/>
                <w:sz w:val="24"/>
              </w:rPr>
            </w:pPr>
            <w:r>
              <w:rPr>
                <w:rFonts w:hint="eastAsia" w:ascii="仿宋_GB2312" w:hAnsi="宋体" w:cs="仿宋_GB2312"/>
                <w:color w:val="auto"/>
                <w:kern w:val="0"/>
                <w:sz w:val="24"/>
              </w:rPr>
              <w:t>省发改委、省交通运输厅、省数据管理局、民航厦门监管局、省大数据集团</w:t>
            </w:r>
          </w:p>
        </w:tc>
      </w:tr>
      <w:tr>
        <w:tblPrEx>
          <w:tblCellMar>
            <w:top w:w="0" w:type="dxa"/>
            <w:left w:w="108" w:type="dxa"/>
            <w:bottom w:w="0" w:type="dxa"/>
            <w:right w:w="108" w:type="dxa"/>
          </w:tblCellMar>
        </w:tblPrEx>
        <w:trPr>
          <w:trHeight w:val="483" w:hRule="atLeast"/>
        </w:trPr>
        <w:tc>
          <w:tcPr>
            <w:tcW w:w="753" w:type="dxa"/>
            <w:tcBorders>
              <w:top w:val="single" w:color="auto" w:sz="4" w:space="0"/>
              <w:left w:val="single" w:color="auto" w:sz="4" w:space="0"/>
              <w:bottom w:val="single" w:color="auto" w:sz="4" w:space="0"/>
              <w:right w:val="single" w:color="auto" w:sz="4" w:space="0"/>
            </w:tcBorders>
            <w:vAlign w:val="center"/>
          </w:tcPr>
          <w:p>
            <w:pPr>
              <w:pStyle w:val="2"/>
              <w:jc w:val="both"/>
              <w:rPr>
                <w:rFonts w:hint="eastAsia" w:ascii="仿宋_GB2312" w:hAnsi="宋体" w:eastAsia="仿宋_GB2312" w:cs="仿宋_GB2312"/>
                <w:color w:val="auto"/>
                <w:kern w:val="0"/>
                <w:sz w:val="24"/>
                <w:szCs w:val="24"/>
                <w:lang w:val="en-US" w:eastAsia="zh-CN"/>
              </w:rPr>
            </w:pPr>
            <w:r>
              <w:rPr>
                <w:rFonts w:hint="eastAsia" w:ascii="仿宋_GB2312" w:hAnsi="宋体" w:cs="仿宋_GB2312"/>
                <w:color w:val="auto"/>
                <w:kern w:val="0"/>
                <w:sz w:val="24"/>
                <w:szCs w:val="24"/>
              </w:rPr>
              <w:t>3</w:t>
            </w:r>
            <w:r>
              <w:rPr>
                <w:rFonts w:hint="eastAsia" w:ascii="仿宋_GB2312" w:hAnsi="宋体" w:cs="仿宋_GB2312"/>
                <w:color w:val="auto"/>
                <w:kern w:val="0"/>
                <w:sz w:val="24"/>
                <w:szCs w:val="24"/>
                <w:lang w:val="en-US" w:eastAsia="zh-CN"/>
              </w:rPr>
              <w:t>2</w:t>
            </w: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楷体_GB2312" w:hAnsi="楷体_GB2312" w:eastAsia="楷体_GB2312" w:cs="楷体_GB2312"/>
                <w:b/>
                <w:color w:val="auto"/>
                <w:sz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仿宋_GB2312" w:hAnsi="宋体" w:cs="仿宋_GB2312"/>
                <w:b/>
                <w:bCs/>
                <w:color w:val="auto"/>
                <w:kern w:val="0"/>
                <w:sz w:val="24"/>
              </w:rPr>
            </w:pPr>
          </w:p>
        </w:tc>
        <w:tc>
          <w:tcPr>
            <w:tcW w:w="82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仿宋_GB2312" w:hAnsi="宋体" w:cs="仿宋_GB2312"/>
                <w:color w:val="auto"/>
                <w:kern w:val="0"/>
                <w:sz w:val="24"/>
              </w:rPr>
            </w:pPr>
            <w:r>
              <w:rPr>
                <w:rFonts w:hint="eastAsia" w:ascii="仿宋_GB2312" w:hAnsi="宋体" w:cs="仿宋_GB2312"/>
                <w:color w:val="auto"/>
                <w:kern w:val="0"/>
                <w:sz w:val="24"/>
              </w:rPr>
              <w:t>推动铁路、港口建立信息系统交互和数据开放机制，开放订车订舱、车次航期、到发站(港)、场站作业、定位轨迹等信息，支撑自动推送、智能交换、实时交互等服务功能。</w:t>
            </w:r>
          </w:p>
        </w:tc>
        <w:tc>
          <w:tcPr>
            <w:tcW w:w="4109" w:type="dxa"/>
            <w:tcBorders>
              <w:top w:val="single" w:color="auto" w:sz="4" w:space="0"/>
              <w:left w:val="single" w:color="auto" w:sz="4" w:space="0"/>
              <w:bottom w:val="single" w:color="auto" w:sz="4" w:space="0"/>
              <w:right w:val="single" w:color="auto" w:sz="4" w:space="0"/>
            </w:tcBorders>
            <w:vAlign w:val="center"/>
          </w:tcPr>
          <w:p>
            <w:pPr>
              <w:pStyle w:val="5"/>
              <w:widowControl/>
              <w:shd w:val="clear" w:color="auto" w:fill="FFFFFF"/>
              <w:spacing w:beforeAutospacing="0" w:after="60" w:afterAutospacing="0" w:line="330" w:lineRule="atLeast"/>
              <w:ind w:firstLine="0" w:firstLineChars="0"/>
              <w:rPr>
                <w:rFonts w:hint="default" w:ascii="仿宋_GB2312" w:eastAsia="仿宋_GB2312" w:cs="仿宋_GB2312"/>
                <w:color w:val="auto"/>
                <w:sz w:val="24"/>
                <w:szCs w:val="24"/>
              </w:rPr>
            </w:pPr>
            <w:r>
              <w:rPr>
                <w:rFonts w:ascii="仿宋_GB2312" w:eastAsia="仿宋_GB2312" w:cs="仿宋_GB2312"/>
                <w:b w:val="0"/>
                <w:color w:val="auto"/>
                <w:sz w:val="24"/>
                <w:szCs w:val="24"/>
              </w:rPr>
              <w:t>省数据管理局、中铁南昌局集团、省大数据集团</w:t>
            </w:r>
          </w:p>
        </w:tc>
      </w:tr>
    </w:tbl>
    <w:p>
      <w:pPr>
        <w:ind w:firstLine="0" w:firstLineChars="0"/>
        <w:rPr>
          <w:color w:val="auto"/>
        </w:rPr>
      </w:pPr>
    </w:p>
    <w:sectPr>
      <w:headerReference r:id="rId5" w:type="default"/>
      <w:footerReference r:id="rId6" w:type="default"/>
      <w:pgSz w:w="16838" w:h="11906" w:orient="landscape"/>
      <w:pgMar w:top="1587" w:right="1928" w:bottom="1701" w:left="192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00000287" w:usb1="000000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aramond">
    <w:altName w:val="FreeSerif"/>
    <w:panose1 w:val="02020404030301010803"/>
    <w:charset w:val="00"/>
    <w:family w:val="roman"/>
    <w:pitch w:val="default"/>
    <w:sig w:usb0="00000000" w:usb1="00000000" w:usb2="00000000" w:usb3="00000000" w:csb0="0000009F" w:csb1="DFD70000"/>
  </w:font>
  <w:font w:name="方正小标宋简体">
    <w:altName w:val="方正小标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560"/>
    </w:pPr>
    <w:r>
      <w:rPr>
        <w:sz w:val="2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-356235</wp:posOffset>
              </wp:positionV>
              <wp:extent cx="1828800" cy="1828800"/>
              <wp:effectExtent l="0" t="0" r="0" b="0"/>
              <wp:wrapNone/>
              <wp:docPr id="2" name="409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ind w:firstLineChars="111"/>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p>
                      </w:txbxContent>
                    </wps:txbx>
                    <wps:bodyPr wrap="none" lIns="0" tIns="0" rIns="0" bIns="0" upright="true">
                      <a:spAutoFit/>
                    </wps:bodyPr>
                  </wps:wsp>
                </a:graphicData>
              </a:graphic>
            </wp:anchor>
          </w:drawing>
        </mc:Choice>
        <mc:Fallback>
          <w:pict>
            <v:shape id="4098" o:spid="_x0000_s1026" o:spt="202" type="#_x0000_t202" style="position:absolute;left:0pt;margin-top:-28.05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38W2A9YAAAAIAQAADwAAAAAAAAABACAAAAA4AAAAZHJzL2Rvd25yZXYueG1sUEsB&#10;AhQAFAAAAAgAh07iQF3W99SoAQAAUwMAAA4AAAAAAAAAAQAgAAAAOwEAAGRycy9lMm9Eb2MueG1s&#10;UEsFBgAAAAAGAAYAWQEAAFUFAAAAAA==&#10;">
              <v:fill on="f" focussize="0,0"/>
              <v:stroke on="f" weight="0.5pt"/>
              <v:imagedata o:title=""/>
              <o:lock v:ext="edit" aspectratio="f"/>
              <v:textbox inset="0mm,0mm,0mm,0mm" style="mso-fit-shape-to-text:t;">
                <w:txbxContent>
                  <w:p>
                    <w:pPr>
                      <w:pStyle w:val="10"/>
                      <w:ind w:firstLineChars="111"/>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ZDU0OGI5MjEyOTk5MmIzNDAyYzRjN2Y2ZmY0MjgifQ=="/>
  </w:docVars>
  <w:rsids>
    <w:rsidRoot w:val="00000000"/>
    <w:rsid w:val="14134FB3"/>
    <w:rsid w:val="1B6D284D"/>
    <w:rsid w:val="243F4EC4"/>
    <w:rsid w:val="27DD9277"/>
    <w:rsid w:val="27EF8CC6"/>
    <w:rsid w:val="47E66A44"/>
    <w:rsid w:val="4FFEBC25"/>
    <w:rsid w:val="5BB52FB1"/>
    <w:rsid w:val="6EDFBD92"/>
    <w:rsid w:val="6F1D55C9"/>
    <w:rsid w:val="73771936"/>
    <w:rsid w:val="756C41FE"/>
    <w:rsid w:val="77760B75"/>
    <w:rsid w:val="77F15687"/>
    <w:rsid w:val="7BD58D37"/>
    <w:rsid w:val="7DBF19E1"/>
    <w:rsid w:val="7F1B7600"/>
    <w:rsid w:val="7F1F01A3"/>
    <w:rsid w:val="7FDEEF4F"/>
    <w:rsid w:val="7FFF76AB"/>
    <w:rsid w:val="97ED2DDD"/>
    <w:rsid w:val="A6FA44C3"/>
    <w:rsid w:val="B97D29C2"/>
    <w:rsid w:val="BDEFBD3B"/>
    <w:rsid w:val="C7BE89D5"/>
    <w:rsid w:val="DFFFEA05"/>
    <w:rsid w:val="E7CB07C9"/>
    <w:rsid w:val="EAFA9F00"/>
    <w:rsid w:val="ECBFB771"/>
    <w:rsid w:val="EFAEC36B"/>
    <w:rsid w:val="EFAFF452"/>
    <w:rsid w:val="F7171961"/>
    <w:rsid w:val="FA7D04BF"/>
    <w:rsid w:val="FCEB922D"/>
    <w:rsid w:val="FED7C53F"/>
    <w:rsid w:val="FF3F86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Calibri" w:hAnsi="Calibri" w:eastAsia="仿宋_GB2312" w:cs="宋体"/>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5"/>
    <w:next w:val="1"/>
    <w:link w:val="20"/>
    <w:qFormat/>
    <w:uiPriority w:val="0"/>
    <w:pPr>
      <w:keepNext/>
      <w:keepLines/>
      <w:spacing w:line="360" w:lineRule="auto"/>
      <w:outlineLvl w:val="1"/>
    </w:pPr>
    <w:rPr>
      <w:rFonts w:ascii="Arial" w:hAnsi="Arial" w:eastAsia="楷体_GB2312"/>
      <w:szCs w:val="24"/>
    </w:rPr>
  </w:style>
  <w:style w:type="paragraph" w:styleId="5">
    <w:name w:val="heading 3"/>
    <w:basedOn w:val="1"/>
    <w:next w:val="1"/>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pPr>
      <w:ind w:left="115" w:firstLine="0" w:firstLineChars="0"/>
      <w:jc w:val="left"/>
    </w:pPr>
    <w:rPr>
      <w:rFonts w:ascii="Times New Roman" w:hAnsi="Times New Roman" w:cs="Times New Roman"/>
      <w:szCs w:val="32"/>
    </w:rPr>
  </w:style>
  <w:style w:type="paragraph" w:styleId="6">
    <w:name w:val="Normal Indent"/>
    <w:basedOn w:val="1"/>
    <w:next w:val="7"/>
    <w:qFormat/>
    <w:uiPriority w:val="0"/>
    <w:pPr>
      <w:ind w:firstLine="420"/>
    </w:pPr>
    <w:rPr>
      <w:szCs w:val="21"/>
    </w:rPr>
  </w:style>
  <w:style w:type="paragraph" w:styleId="7">
    <w:name w:val="Body Text 3"/>
    <w:basedOn w:val="1"/>
    <w:qFormat/>
    <w:uiPriority w:val="0"/>
    <w:rPr>
      <w:rFonts w:ascii="Times New Roman" w:hAnsi="Times New Roman" w:eastAsia="宋体" w:cs="Times New Roman"/>
      <w:sz w:val="16"/>
    </w:rPr>
  </w:style>
  <w:style w:type="paragraph" w:styleId="8">
    <w:name w:val="Body Text Indent"/>
    <w:basedOn w:val="1"/>
    <w:next w:val="1"/>
    <w:qFormat/>
    <w:uiPriority w:val="0"/>
    <w:pPr>
      <w:spacing w:after="120"/>
      <w:ind w:left="420" w:leftChars="200"/>
    </w:pPr>
    <w:rPr>
      <w:rFonts w:ascii="Calibri" w:hAnsi="Calibri" w:cs="Times New Roman"/>
    </w:rPr>
  </w:style>
  <w:style w:type="paragraph" w:styleId="9">
    <w:name w:val="Balloon Text"/>
    <w:basedOn w:val="1"/>
    <w:next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1"/>
    <w:qFormat/>
    <w:uiPriority w:val="0"/>
    <w:pP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firstLine="0" w:firstLineChars="0"/>
      <w:jc w:val="left"/>
    </w:pPr>
    <w:rPr>
      <w:rFonts w:ascii="Times New Roman" w:hAnsi="Times New Roman" w:cs="Times New Roman"/>
      <w:kern w:val="0"/>
      <w:sz w:val="24"/>
    </w:rPr>
  </w:style>
  <w:style w:type="paragraph" w:styleId="13">
    <w:name w:val="Body Text First Indent 2"/>
    <w:basedOn w:val="8"/>
    <w:qFormat/>
    <w:uiPriority w:val="0"/>
    <w:pPr>
      <w:ind w:firstLine="420"/>
    </w:pPr>
  </w:style>
  <w:style w:type="character" w:styleId="16">
    <w:name w:val="Strong"/>
    <w:basedOn w:val="15"/>
    <w:qFormat/>
    <w:uiPriority w:val="0"/>
    <w:rPr>
      <w:b/>
    </w:rPr>
  </w:style>
  <w:style w:type="character" w:styleId="17">
    <w:name w:val="page number"/>
    <w:basedOn w:val="15"/>
    <w:qFormat/>
    <w:uiPriority w:val="0"/>
  </w:style>
  <w:style w:type="character" w:customStyle="1" w:styleId="18">
    <w:name w:val="标题 2 Char"/>
    <w:link w:val="4"/>
    <w:qFormat/>
    <w:uiPriority w:val="0"/>
    <w:rPr>
      <w:rFonts w:ascii="Arial" w:hAnsi="Arial" w:eastAsia="楷体_GB2312" w:cs="Times New Roman"/>
      <w:szCs w:val="24"/>
    </w:rPr>
  </w:style>
  <w:style w:type="paragraph" w:customStyle="1" w:styleId="19">
    <w:name w:val="正文1"/>
    <w:qFormat/>
    <w:uiPriority w:val="0"/>
    <w:pPr>
      <w:widowControl w:val="0"/>
      <w:spacing w:line="640" w:lineRule="exact"/>
      <w:ind w:firstLine="200" w:firstLineChars="200"/>
      <w:jc w:val="both"/>
    </w:pPr>
    <w:rPr>
      <w:rFonts w:ascii="Garamond" w:hAnsi="Garamond" w:eastAsia="仿宋_GB2312" w:cs="Times New Roman"/>
      <w:sz w:val="32"/>
      <w:szCs w:val="30"/>
      <w:lang w:val="en-US" w:eastAsia="zh-CN" w:bidi="ar-SA"/>
    </w:rPr>
  </w:style>
  <w:style w:type="character" w:customStyle="1" w:styleId="20">
    <w:name w:val="标题 2 Char1"/>
    <w:link w:val="4"/>
    <w:qFormat/>
    <w:uiPriority w:val="0"/>
    <w:rPr>
      <w:rFonts w:ascii="Arial" w:hAnsi="Arial" w:eastAsia="楷体_GB2312"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7961</Words>
  <Characters>8096</Characters>
  <Paragraphs>268</Paragraphs>
  <TotalTime>0</TotalTime>
  <ScaleCrop>false</ScaleCrop>
  <LinksUpToDate>false</LinksUpToDate>
  <CharactersWithSpaces>8100</CharactersWithSpaces>
  <Application>WPS Office_11.8.2.10309_F1E327BC-269C-435d-A152-05C5408002CA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2024-09-09T09:33:00Z</dcterms:created>
  <dc:creator>JTT</dc:creator>
  <cp:lastModifiedBy>王明文</cp:lastModifiedBy>
  <cp:lastPrinted>2024-08-24T01:41:00Z</cp:lastPrinted>
  <dcterms:modified xsi:type="dcterms:W3CDTF">2024-11-04T12:48:53Z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2052-11.8.2.10309</vt:lpwstr>
  </property>
  <property fmtid="{D5CDD505-2E9C-101B-9397-08002B2CF9AE}" pid="3" name="ICV">
    <vt:lpwstr>70BAC2BCC6174D19847581D91731DB12_13</vt:lpwstr>
  </property>
</Properties>
</file>