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pageBreakBefore w:val="0"/>
        <w:numPr>
          <w:ilvl w:val="0"/>
          <w:numId w:val="0"/>
        </w:numPr>
        <w:kinsoku/>
        <w:wordWrap/>
        <w:overflowPunct/>
        <w:topLinePunct w:val="0"/>
        <w:autoSpaceDE/>
        <w:autoSpaceDN/>
        <w:bidi w:val="0"/>
        <w:adjustRightInd/>
        <w:snapToGrid/>
        <w:spacing w:afterAutospacing="0" w:line="590" w:lineRule="exact"/>
        <w:ind w:left="0" w:leftChars="0" w:right="0" w:rightChars="0" w:firstLine="0"/>
        <w:jc w:val="both"/>
        <w:textAlignment w:val="auto"/>
        <w:rPr>
          <w:rFonts w:hint="eastAsia" w:ascii="黑体" w:hAnsi="黑体" w:eastAsia="黑体" w:cs="黑体"/>
          <w:b w:val="0"/>
          <w:bCs w:val="0"/>
          <w:i w:val="0"/>
          <w:color w:val="auto"/>
          <w:sz w:val="32"/>
          <w:szCs w:val="32"/>
          <w:u w:val="none"/>
          <w:lang w:val="en-US" w:eastAsia="zh-CN"/>
        </w:rPr>
      </w:pPr>
      <w:bookmarkStart w:id="0" w:name="_GoBack"/>
      <w:bookmarkEnd w:id="0"/>
      <w:r>
        <w:rPr>
          <w:rFonts w:hint="eastAsia" w:ascii="黑体" w:hAnsi="黑体" w:eastAsia="黑体" w:cs="黑体"/>
          <w:b w:val="0"/>
          <w:bCs w:val="0"/>
          <w:i w:val="0"/>
          <w:color w:val="auto"/>
          <w:sz w:val="32"/>
          <w:szCs w:val="32"/>
          <w:u w:val="none"/>
          <w:lang w:val="en-US" w:eastAsia="zh-CN"/>
        </w:rPr>
        <w:t>附件2</w:t>
      </w:r>
    </w:p>
    <w:p>
      <w:pPr>
        <w:pStyle w:val="6"/>
        <w:keepNext w:val="0"/>
        <w:keepLines w:val="0"/>
        <w:pageBreakBefore w:val="0"/>
        <w:numPr>
          <w:ilvl w:val="0"/>
          <w:numId w:val="0"/>
        </w:numPr>
        <w:kinsoku/>
        <w:wordWrap/>
        <w:overflowPunct/>
        <w:topLinePunct w:val="0"/>
        <w:autoSpaceDE/>
        <w:autoSpaceDN/>
        <w:bidi w:val="0"/>
        <w:adjustRightInd/>
        <w:snapToGrid/>
        <w:spacing w:before="157" w:beforeLines="50" w:afterAutospacing="0" w:line="590" w:lineRule="exact"/>
        <w:ind w:right="0" w:rightChars="0"/>
        <w:jc w:val="center"/>
        <w:textAlignment w:val="auto"/>
        <w:outlineLvl w:val="9"/>
        <w:rPr>
          <w:rFonts w:hint="eastAsia" w:ascii="方正小标宋简体" w:hAnsi="方正小标宋简体" w:eastAsia="方正小标宋简体" w:cs="方正小标宋简体"/>
          <w:b w:val="0"/>
          <w:bCs/>
          <w:i w:val="0"/>
          <w:color w:val="auto"/>
          <w:sz w:val="44"/>
          <w:szCs w:val="44"/>
          <w:u w:val="none"/>
          <w:lang w:val="en-US" w:eastAsia="zh-CN"/>
        </w:rPr>
      </w:pPr>
      <w:r>
        <w:rPr>
          <w:rFonts w:hint="eastAsia" w:ascii="方正小标宋简体" w:hAnsi="方正小标宋简体" w:eastAsia="方正小标宋简体" w:cs="方正小标宋简体"/>
          <w:b w:val="0"/>
          <w:bCs/>
          <w:i w:val="0"/>
          <w:color w:val="auto"/>
          <w:kern w:val="0"/>
          <w:sz w:val="44"/>
          <w:szCs w:val="44"/>
          <w:u w:val="none"/>
          <w:lang w:val="en-US" w:eastAsia="zh-CN" w:bidi="ar"/>
        </w:rPr>
        <w:t>重点任务清单</w:t>
      </w:r>
    </w:p>
    <w:tbl>
      <w:tblPr>
        <w:tblStyle w:val="9"/>
        <w:tblW w:w="13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5"/>
        <w:gridCol w:w="1251"/>
        <w:gridCol w:w="1289"/>
        <w:gridCol w:w="5897"/>
        <w:gridCol w:w="371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blHeader/>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2540" w:type="dxa"/>
            <w:gridSpan w:val="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主要任务</w:t>
            </w:r>
          </w:p>
        </w:tc>
        <w:tc>
          <w:tcPr>
            <w:tcW w:w="5897"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具体措施</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落实责任单位</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251"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坚持全省一盘棋理念，推进全省港口分工合理优化</w:t>
            </w: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深化集装箱“一主两辅”发展格局</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 w:bidi="ar"/>
              </w:rPr>
              <w:t>进一步</w:t>
            </w:r>
            <w:r>
              <w:rPr>
                <w:rFonts w:hint="eastAsia" w:ascii="宋体" w:hAnsi="宋体" w:eastAsia="宋体" w:cs="宋体"/>
                <w:i w:val="0"/>
                <w:color w:val="auto"/>
                <w:kern w:val="0"/>
                <w:sz w:val="21"/>
                <w:szCs w:val="21"/>
                <w:u w:val="none"/>
                <w:lang w:val="en-US" w:eastAsia="zh-CN" w:bidi="ar"/>
              </w:rPr>
              <w:t>巩固提升厦门港国际集装箱干线枢纽港地位，形成以厦门港为主，福州港、泉州港为辅，分工协作、错位发展的集装箱运输系统布局</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厦门港在海沧港区国际集装箱干线港区基础上，积极拓展翔安港区，全面提升集装箱通过能力</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2032年底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3</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巩固大宗散货“两港为主”发展态势</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打造湄洲湾港罗屿、福州港可门为东南沿海能源矿产进口重要口岸和大宗散货接卸中转储备加工基地</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4</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吸引大型矿石贸易商和矿山集团业务落地，构建巴西、澳大利亚等矿产资源在闽重要物流节点</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省发改委牵头，省国资委、交通运输厅配合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巩固罗屿港口保税堆场作为台湾钢铁企业在大陆地区最大的散货储运中转基地的地位</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6</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强化油品化工“两基地一专区”发展格局</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集中打造湄洲湾</w:t>
            </w:r>
            <w:r>
              <w:rPr>
                <w:rFonts w:hint="eastAsia" w:ascii="宋体" w:hAnsi="宋体" w:eastAsia="宋体" w:cs="宋体"/>
                <w:color w:val="auto"/>
                <w:kern w:val="0"/>
                <w:sz w:val="21"/>
                <w:szCs w:val="21"/>
                <w:highlight w:val="none"/>
                <w:u w:val="none"/>
                <w:lang w:val="en-US" w:eastAsia="zh-CN" w:bidi="ar"/>
              </w:rPr>
              <w:t>南北岸液体散货</w:t>
            </w:r>
            <w:r>
              <w:rPr>
                <w:rFonts w:hint="eastAsia" w:ascii="宋体" w:hAnsi="宋体" w:eastAsia="宋体" w:cs="宋体"/>
                <w:i w:val="0"/>
                <w:color w:val="auto"/>
                <w:kern w:val="0"/>
                <w:sz w:val="21"/>
                <w:szCs w:val="21"/>
                <w:u w:val="none"/>
                <w:lang w:val="en-US" w:eastAsia="zh-CN" w:bidi="ar"/>
              </w:rPr>
              <w:t>港区、厦门港古雷港区两大液体散货装卸储备基地及福州港江阴港区化工新材料装卸专区，提升油品化工接卸储运保障能力。积极拓展原油中转储备业务。</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7</w:t>
            </w:r>
          </w:p>
        </w:tc>
        <w:tc>
          <w:tcPr>
            <w:tcW w:w="1251"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坚持集约高效理念，推进重点港区连片开发</w:t>
            </w: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集约高效利用港口岸线</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强化公共码头建设，重点港区适度超前，加快提升规模化、集约化、专业化水平，</w:t>
            </w:r>
            <w:r>
              <w:rPr>
                <w:rFonts w:hint="eastAsia" w:ascii="宋体" w:hAnsi="宋体" w:eastAsia="宋体" w:cs="宋体"/>
                <w:color w:val="auto"/>
                <w:kern w:val="0"/>
                <w:sz w:val="21"/>
                <w:szCs w:val="21"/>
                <w:highlight w:val="none"/>
                <w:u w:val="none"/>
                <w:lang w:val="en-US" w:eastAsia="zh-CN" w:bidi="ar"/>
              </w:rPr>
              <w:t>一般港区以开发临港产业码头为主</w:t>
            </w:r>
            <w:r>
              <w:rPr>
                <w:rFonts w:hint="eastAsia" w:ascii="宋体" w:hAnsi="宋体" w:cs="宋体"/>
                <w:color w:val="auto"/>
                <w:kern w:val="0"/>
                <w:sz w:val="21"/>
                <w:szCs w:val="21"/>
                <w:highlight w:val="none"/>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8</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引导临港工业企业利用公共码头运输，支持具有码头建设和经营经验的大型港口经营企业单独投资或与临港工业企业合作投资建设公共码头</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9</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发挥我省港口开发运营骨干企业作用，加大港口岸线资源收储开发力度，对重要港口岸线进行先导性、战略性开发</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0</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实施码头扩能改造升级，发挥港口岸线资源效益</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1</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提升国际集装箱运输能力</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优化调整厦门港海沧、东渡港区功能，巩固提升厦门港国际集装箱枢纽港地位</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2</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加快江阴港区6-7号泊位扩能升级和改造，形成江阴港区集装箱泊位的连片经营格局。</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2027年底前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3</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打造国际干散货转运基地</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加快湄洲湾港罗屿作业区、福州港可门作业区集中连片开发。</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14</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val="0"/>
                <w:bCs w:val="0"/>
                <w:color w:val="auto"/>
                <w:kern w:val="0"/>
                <w:sz w:val="21"/>
                <w:szCs w:val="21"/>
                <w:highlight w:val="none"/>
                <w:u w:val="none"/>
                <w:shd w:val="clear" w:color="auto" w:fill="auto"/>
                <w:lang w:val="en-US" w:eastAsia="zh-CN" w:bidi="ar"/>
              </w:rPr>
              <w:t>支持莆田市依托湄洲湾港东吴港区建设大宗商品储运基地及煤炭储备基地。</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省发改委牵头，省交通运输厅、国资委配合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15</w:t>
            </w:r>
          </w:p>
        </w:tc>
        <w:tc>
          <w:tcPr>
            <w:tcW w:w="1251"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坚持政府引导、市场运作原则，推进港口资产整合不断深化</w:t>
            </w: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加快国有龙头港口企业内部专业化整合</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省内主要港口经营主体发挥上市公司平台作用，以上市股权为纽带，实施集装箱、干散货、拖轮、物流业务等内部专业化整合</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w:t>
            </w:r>
            <w:r>
              <w:rPr>
                <w:rFonts w:hint="eastAsia" w:ascii="宋体" w:hAnsi="宋体" w:cs="宋体"/>
                <w:i w:val="0"/>
                <w:color w:val="auto"/>
                <w:kern w:val="0"/>
                <w:sz w:val="21"/>
                <w:szCs w:val="21"/>
                <w:u w:val="none"/>
                <w:lang w:val="en-US" w:eastAsia="zh-CN" w:bidi="ar"/>
              </w:rPr>
              <w:t>省</w:t>
            </w:r>
            <w:r>
              <w:rPr>
                <w:rFonts w:hint="eastAsia" w:ascii="宋体" w:hAnsi="宋体" w:eastAsia="宋体" w:cs="宋体"/>
                <w:i w:val="0"/>
                <w:color w:val="auto"/>
                <w:kern w:val="0"/>
                <w:sz w:val="21"/>
                <w:szCs w:val="21"/>
                <w:u w:val="none"/>
                <w:lang w:val="en-US" w:eastAsia="zh-CN" w:bidi="ar"/>
              </w:rPr>
              <w:t>交通运输厅配合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16</w:t>
            </w:r>
          </w:p>
        </w:tc>
        <w:tc>
          <w:tcPr>
            <w:tcW w:w="1251" w:type="dxa"/>
            <w:vMerge w:val="continue"/>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1289" w:type="dxa"/>
            <w:vMerge w:val="continue"/>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采取“一企一策”方式理清下属企业海域、土地等各种遗留权证办理和变更。</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省自然资源厅牵头</w:t>
            </w:r>
            <w:r>
              <w:rPr>
                <w:rFonts w:hint="eastAsia" w:ascii="宋体" w:hAnsi="宋体" w:eastAsia="宋体" w:cs="宋体"/>
                <w:i w:val="0"/>
                <w:color w:val="auto"/>
                <w:kern w:val="0"/>
                <w:sz w:val="21"/>
                <w:szCs w:val="21"/>
                <w:u w:val="none"/>
                <w:lang w:val="en-US" w:eastAsia="zh-CN" w:bidi="ar"/>
              </w:rPr>
              <w:t>，省国资委、税务局、交通运输厅、厦门市税务局配合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7</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实现集团下属宁德、福州、平潭、莆田、泉州、厦门、漳州七大区域港口平台公司“一体化+差异化”运营</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省国资委牵头，省自然资源厅、交通运输厅配合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8</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推动省市国有港口资产整合</w:t>
            </w:r>
          </w:p>
        </w:tc>
        <w:tc>
          <w:tcPr>
            <w:tcW w:w="5897" w:type="dxa"/>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b w:val="0"/>
                <w:bCs w:val="0"/>
                <w:color w:val="auto"/>
                <w:kern w:val="0"/>
                <w:sz w:val="21"/>
                <w:szCs w:val="21"/>
                <w:highlight w:val="none"/>
                <w:u w:val="none"/>
                <w:shd w:val="clear" w:color="auto" w:fill="auto"/>
                <w:lang w:val="en-US" w:eastAsia="zh-CN" w:bidi="ar"/>
              </w:rPr>
              <w:t>以国有龙头港口企业为平台，</w:t>
            </w:r>
            <w:r>
              <w:rPr>
                <w:rFonts w:hint="eastAsia" w:ascii="宋体" w:hAnsi="宋体" w:eastAsia="宋体" w:cs="宋体"/>
                <w:strike w:val="0"/>
                <w:color w:val="auto"/>
                <w:kern w:val="0"/>
                <w:sz w:val="21"/>
                <w:szCs w:val="21"/>
                <w:u w:val="none"/>
                <w:lang w:val="en-US" w:eastAsia="zh-CN" w:bidi="ar"/>
              </w:rPr>
              <w:t>在依法决策、自主经营基础上，</w:t>
            </w:r>
            <w:r>
              <w:rPr>
                <w:rFonts w:hint="eastAsia" w:ascii="宋体" w:hAnsi="宋体" w:eastAsia="宋体" w:cs="宋体"/>
                <w:i w:val="0"/>
                <w:caps w:val="0"/>
                <w:color w:val="auto"/>
                <w:spacing w:val="0"/>
                <w:kern w:val="0"/>
                <w:sz w:val="21"/>
                <w:szCs w:val="21"/>
                <w:u w:val="none"/>
                <w:shd w:val="clear" w:color="auto" w:fill="auto"/>
                <w:lang w:bidi="ar"/>
              </w:rPr>
              <w:t>推动省内国有资产不同管理层级的国有港口企业</w:t>
            </w:r>
            <w:r>
              <w:rPr>
                <w:rFonts w:hint="eastAsia" w:ascii="宋体" w:hAnsi="宋体" w:eastAsia="宋体" w:cs="宋体"/>
                <w:color w:val="auto"/>
                <w:kern w:val="0"/>
                <w:sz w:val="21"/>
                <w:szCs w:val="21"/>
                <w:u w:val="none"/>
                <w:lang w:eastAsia="zh-CN" w:bidi="ar"/>
              </w:rPr>
              <w:t>进一步</w:t>
            </w:r>
            <w:r>
              <w:rPr>
                <w:rFonts w:hint="eastAsia" w:ascii="宋体" w:hAnsi="宋体" w:eastAsia="宋体" w:cs="宋体"/>
                <w:i w:val="0"/>
                <w:caps w:val="0"/>
                <w:color w:val="auto"/>
                <w:spacing w:val="0"/>
                <w:kern w:val="0"/>
                <w:sz w:val="21"/>
                <w:szCs w:val="21"/>
                <w:u w:val="none"/>
                <w:shd w:val="clear" w:color="auto" w:fill="auto"/>
                <w:lang w:bidi="ar"/>
              </w:rPr>
              <w:t>整合，提高经营集约化水平，防止</w:t>
            </w:r>
            <w:r>
              <w:rPr>
                <w:rFonts w:hint="eastAsia" w:ascii="宋体" w:hAnsi="宋体" w:cs="宋体"/>
                <w:i w:val="0"/>
                <w:caps w:val="0"/>
                <w:color w:val="auto"/>
                <w:spacing w:val="0"/>
                <w:kern w:val="0"/>
                <w:sz w:val="21"/>
                <w:szCs w:val="21"/>
                <w:u w:val="none"/>
                <w:shd w:val="clear" w:color="auto" w:fill="auto"/>
                <w:lang w:eastAsia="zh" w:bidi="ar"/>
              </w:rPr>
              <w:t>“</w:t>
            </w:r>
            <w:r>
              <w:rPr>
                <w:rStyle w:val="10"/>
                <w:rFonts w:hint="eastAsia" w:ascii="宋体" w:hAnsi="宋体" w:eastAsia="宋体" w:cs="宋体"/>
                <w:i w:val="0"/>
                <w:caps w:val="0"/>
                <w:color w:val="auto"/>
                <w:spacing w:val="0"/>
                <w:kern w:val="0"/>
                <w:sz w:val="21"/>
                <w:szCs w:val="21"/>
                <w:u w:val="none"/>
                <w:shd w:val="clear" w:color="auto" w:fill="auto"/>
                <w:lang w:bidi="ar"/>
              </w:rPr>
              <w:t>内卷</w:t>
            </w:r>
            <w:r>
              <w:rPr>
                <w:rFonts w:hint="eastAsia" w:ascii="宋体" w:hAnsi="宋体" w:eastAsia="宋体" w:cs="宋体"/>
                <w:i w:val="0"/>
                <w:caps w:val="0"/>
                <w:color w:val="auto"/>
                <w:spacing w:val="0"/>
                <w:kern w:val="0"/>
                <w:sz w:val="21"/>
                <w:szCs w:val="21"/>
                <w:u w:val="none"/>
                <w:shd w:val="clear" w:color="auto" w:fill="auto"/>
                <w:lang w:bidi="ar"/>
              </w:rPr>
              <w:t>式</w:t>
            </w:r>
            <w:r>
              <w:rPr>
                <w:rFonts w:hint="eastAsia" w:ascii="宋体" w:hAnsi="宋体" w:cs="宋体"/>
                <w:i w:val="0"/>
                <w:caps w:val="0"/>
                <w:color w:val="auto"/>
                <w:spacing w:val="0"/>
                <w:kern w:val="0"/>
                <w:sz w:val="21"/>
                <w:szCs w:val="21"/>
                <w:u w:val="none"/>
                <w:shd w:val="clear" w:color="auto" w:fill="auto"/>
                <w:lang w:eastAsia="zh" w:bidi="ar"/>
              </w:rPr>
              <w:t>”</w:t>
            </w:r>
            <w:r>
              <w:rPr>
                <w:rFonts w:hint="eastAsia" w:ascii="宋体" w:hAnsi="宋体" w:eastAsia="宋体" w:cs="宋体"/>
                <w:i w:val="0"/>
                <w:caps w:val="0"/>
                <w:color w:val="auto"/>
                <w:spacing w:val="0"/>
                <w:kern w:val="0"/>
                <w:sz w:val="21"/>
                <w:szCs w:val="21"/>
                <w:u w:val="none"/>
                <w:shd w:val="clear" w:color="auto" w:fill="auto"/>
                <w:lang w:bidi="ar"/>
              </w:rPr>
              <w:t>恶性竞争</w:t>
            </w:r>
            <w:r>
              <w:rPr>
                <w:rFonts w:hint="eastAsia" w:ascii="宋体" w:hAnsi="宋体" w:cs="宋体"/>
                <w:i w:val="0"/>
                <w:caps w:val="0"/>
                <w:color w:val="auto"/>
                <w:spacing w:val="0"/>
                <w:kern w:val="0"/>
                <w:sz w:val="21"/>
                <w:szCs w:val="21"/>
                <w:u w:val="none"/>
                <w:shd w:val="clear" w:color="auto" w:fill="auto"/>
                <w:lang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省国资委牵头，省自然资源厅、税务局、交通运输厅、</w:t>
            </w:r>
            <w:r>
              <w:rPr>
                <w:rFonts w:hint="eastAsia" w:ascii="宋体" w:hAnsi="宋体" w:cs="宋体"/>
                <w:i w:val="0"/>
                <w:color w:val="auto"/>
                <w:kern w:val="0"/>
                <w:sz w:val="21"/>
                <w:szCs w:val="21"/>
                <w:u w:val="none"/>
                <w:lang w:val="en-US" w:eastAsia="zh-CN" w:bidi="ar"/>
              </w:rPr>
              <w:t>厦门市税务局</w:t>
            </w:r>
            <w:r>
              <w:rPr>
                <w:rFonts w:hint="eastAsia" w:ascii="宋体" w:hAnsi="宋体" w:eastAsia="宋体" w:cs="宋体"/>
                <w:i w:val="0"/>
                <w:color w:val="auto"/>
                <w:kern w:val="0"/>
                <w:sz w:val="21"/>
                <w:szCs w:val="21"/>
                <w:u w:val="none"/>
                <w:lang w:val="en-US" w:eastAsia="zh-CN" w:bidi="ar"/>
              </w:rPr>
              <w:t>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2027年底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19</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aps w:val="0"/>
                <w:color w:val="auto"/>
                <w:spacing w:val="0"/>
                <w:kern w:val="0"/>
                <w:sz w:val="21"/>
                <w:szCs w:val="21"/>
                <w:u w:val="none"/>
                <w:shd w:val="clear" w:color="auto" w:fill="auto"/>
                <w:lang w:eastAsia="zh-CN" w:bidi="ar"/>
              </w:rPr>
              <w:t>各级同向发力，</w:t>
            </w:r>
            <w:r>
              <w:rPr>
                <w:rFonts w:hint="eastAsia" w:ascii="宋体" w:hAnsi="宋体" w:eastAsia="宋体" w:cs="宋体"/>
                <w:i w:val="0"/>
                <w:caps w:val="0"/>
                <w:color w:val="auto"/>
                <w:spacing w:val="0"/>
                <w:kern w:val="0"/>
                <w:sz w:val="21"/>
                <w:szCs w:val="21"/>
                <w:u w:val="none"/>
                <w:shd w:val="clear" w:color="auto" w:fill="auto"/>
                <w:lang w:val="en-US" w:eastAsia="zh-CN" w:bidi="ar"/>
              </w:rPr>
              <w:t>以</w:t>
            </w:r>
            <w:r>
              <w:rPr>
                <w:rFonts w:hint="eastAsia" w:ascii="宋体" w:hAnsi="宋体" w:eastAsia="宋体" w:cs="宋体"/>
                <w:b w:val="0"/>
                <w:bCs w:val="0"/>
                <w:color w:val="auto"/>
                <w:kern w:val="0"/>
                <w:sz w:val="21"/>
                <w:szCs w:val="21"/>
                <w:u w:val="none"/>
                <w:shd w:val="clear" w:color="auto" w:fill="auto"/>
                <w:lang w:val="en-US" w:eastAsia="zh-CN" w:bidi="ar"/>
              </w:rPr>
              <w:t>龙头港口企业</w:t>
            </w:r>
            <w:r>
              <w:rPr>
                <w:rFonts w:hint="eastAsia" w:ascii="宋体" w:hAnsi="宋体" w:eastAsia="宋体" w:cs="宋体"/>
                <w:i w:val="0"/>
                <w:caps w:val="0"/>
                <w:color w:val="auto"/>
                <w:spacing w:val="0"/>
                <w:kern w:val="0"/>
                <w:sz w:val="21"/>
                <w:szCs w:val="21"/>
                <w:u w:val="none"/>
                <w:shd w:val="clear" w:color="auto" w:fill="auto"/>
                <w:lang w:val="en-US" w:eastAsia="zh-CN" w:bidi="ar"/>
              </w:rPr>
              <w:t>为主，</w:t>
            </w:r>
            <w:r>
              <w:rPr>
                <w:rFonts w:hint="eastAsia" w:ascii="宋体" w:hAnsi="宋体" w:cs="宋体"/>
                <w:i w:val="0"/>
                <w:caps w:val="0"/>
                <w:color w:val="auto"/>
                <w:spacing w:val="0"/>
                <w:kern w:val="0"/>
                <w:sz w:val="21"/>
                <w:szCs w:val="21"/>
                <w:u w:val="none"/>
                <w:shd w:val="clear" w:color="auto" w:fill="auto"/>
                <w:lang w:val="en-US" w:eastAsia="zh-CN" w:bidi="ar"/>
              </w:rPr>
              <w:t>引导相关企业参与</w:t>
            </w:r>
            <w:r>
              <w:rPr>
                <w:rFonts w:hint="eastAsia" w:ascii="宋体" w:hAnsi="宋体" w:eastAsia="宋体" w:cs="宋体"/>
                <w:i w:val="0"/>
                <w:caps w:val="0"/>
                <w:color w:val="auto"/>
                <w:spacing w:val="0"/>
                <w:kern w:val="0"/>
                <w:sz w:val="21"/>
                <w:szCs w:val="21"/>
                <w:u w:val="none"/>
                <w:shd w:val="clear" w:color="auto" w:fill="auto"/>
                <w:lang w:val="en-US" w:eastAsia="zh-CN" w:bidi="ar"/>
              </w:rPr>
              <w:t>作为各地公共码头投资、建设、运营平台</w:t>
            </w:r>
            <w:r>
              <w:rPr>
                <w:rFonts w:hint="eastAsia" w:ascii="宋体" w:hAnsi="宋体" w:cs="宋体"/>
                <w:i w:val="0"/>
                <w:caps w:val="0"/>
                <w:color w:val="auto"/>
                <w:spacing w:val="0"/>
                <w:kern w:val="0"/>
                <w:sz w:val="21"/>
                <w:szCs w:val="21"/>
                <w:u w:val="none"/>
                <w:shd w:val="clear" w:color="auto" w:fill="auto"/>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省国资委牵头，省发改委、交通运输厅配合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20</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推动不同性质港口企业一体化经营</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支持</w:t>
            </w:r>
            <w:r>
              <w:rPr>
                <w:rFonts w:hint="eastAsia" w:ascii="宋体" w:hAnsi="宋体" w:cs="宋体"/>
                <w:i w:val="0"/>
                <w:color w:val="auto"/>
                <w:kern w:val="0"/>
                <w:sz w:val="21"/>
                <w:szCs w:val="21"/>
                <w:u w:val="none"/>
                <w:lang w:val="en-US" w:eastAsia="zh" w:bidi="ar"/>
              </w:rPr>
              <w:t>我省</w:t>
            </w:r>
            <w:r>
              <w:rPr>
                <w:rFonts w:hint="eastAsia" w:ascii="宋体" w:hAnsi="宋体" w:eastAsia="宋体" w:cs="宋体"/>
                <w:i w:val="0"/>
                <w:color w:val="auto"/>
                <w:kern w:val="0"/>
                <w:sz w:val="21"/>
                <w:szCs w:val="21"/>
                <w:u w:val="none"/>
                <w:lang w:val="en-US" w:eastAsia="zh-CN" w:bidi="ar"/>
              </w:rPr>
              <w:t>国有港口企业通过股权互换、战略协同、租赁经营等方式，与央企、外资、民营港口企业开展</w:t>
            </w:r>
            <w:r>
              <w:rPr>
                <w:rFonts w:hint="eastAsia" w:ascii="宋体" w:hAnsi="宋体" w:cs="宋体"/>
                <w:i w:val="0"/>
                <w:color w:val="auto"/>
                <w:kern w:val="0"/>
                <w:sz w:val="21"/>
                <w:szCs w:val="21"/>
                <w:u w:val="none"/>
                <w:lang w:val="en-US" w:eastAsia="zh-CN" w:bidi="ar"/>
              </w:rPr>
              <w:t>公平</w:t>
            </w:r>
            <w:r>
              <w:rPr>
                <w:rFonts w:hint="eastAsia" w:ascii="宋体" w:hAnsi="宋体" w:eastAsia="宋体" w:cs="宋体"/>
                <w:i w:val="0"/>
                <w:color w:val="auto"/>
                <w:kern w:val="0"/>
                <w:sz w:val="21"/>
                <w:szCs w:val="21"/>
                <w:u w:val="none"/>
                <w:lang w:val="en-US" w:eastAsia="zh-CN" w:bidi="ar"/>
              </w:rPr>
              <w:t>合作，实现“股权多样化、经营一体化”，进一步提升全省港口经营管理一体化水平</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省国资委牵头，省发改委、交通运输厅配合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r>
              <w:rPr>
                <w:rFonts w:hint="eastAsia" w:ascii="宋体" w:hAnsi="宋体" w:cs="宋体"/>
                <w:i w:val="0"/>
                <w:color w:val="auto"/>
                <w:kern w:val="0"/>
                <w:sz w:val="21"/>
                <w:szCs w:val="21"/>
                <w:u w:val="none"/>
                <w:lang w:val="en-US" w:eastAsia="zh-CN" w:bidi="ar"/>
              </w:rPr>
              <w:t>1</w:t>
            </w:r>
          </w:p>
        </w:tc>
        <w:tc>
          <w:tcPr>
            <w:tcW w:w="1251"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坚持海陆双向发力，推进港口辐射力持续提升</w:t>
            </w: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大力拓展</w:t>
            </w:r>
            <w:r>
              <w:rPr>
                <w:rFonts w:hint="eastAsia" w:ascii="宋体" w:hAnsi="宋体" w:eastAsia="宋体" w:cs="宋体"/>
                <w:i w:val="0"/>
                <w:color w:val="auto"/>
                <w:kern w:val="0"/>
                <w:sz w:val="21"/>
                <w:szCs w:val="21"/>
                <w:highlight w:val="none"/>
                <w:u w:val="none"/>
                <w:lang w:val="en-US" w:eastAsia="zh-CN" w:bidi="ar"/>
              </w:rPr>
              <w:t>水水</w:t>
            </w:r>
            <w:r>
              <w:rPr>
                <w:rFonts w:hint="eastAsia" w:ascii="宋体" w:hAnsi="宋体" w:eastAsia="宋体" w:cs="宋体"/>
                <w:i w:val="0"/>
                <w:color w:val="auto"/>
                <w:kern w:val="0"/>
                <w:sz w:val="21"/>
                <w:szCs w:val="21"/>
                <w:u w:val="none"/>
                <w:lang w:val="en-US" w:eastAsia="zh-CN" w:bidi="ar"/>
              </w:rPr>
              <w:t>中转业务</w:t>
            </w:r>
          </w:p>
        </w:tc>
        <w:tc>
          <w:tcPr>
            <w:tcW w:w="5897" w:type="dxa"/>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支持</w:t>
            </w:r>
            <w:r>
              <w:rPr>
                <w:rFonts w:hint="eastAsia" w:ascii="宋体" w:hAnsi="宋体" w:cs="宋体"/>
                <w:i w:val="0"/>
                <w:color w:val="auto"/>
                <w:kern w:val="0"/>
                <w:sz w:val="21"/>
                <w:szCs w:val="21"/>
                <w:u w:val="none"/>
                <w:lang w:val="en-US" w:eastAsia="zh-CN" w:bidi="ar"/>
              </w:rPr>
              <w:t>港口经营主体</w:t>
            </w:r>
            <w:r>
              <w:rPr>
                <w:rFonts w:hint="eastAsia" w:ascii="宋体" w:hAnsi="宋体" w:eastAsia="宋体" w:cs="宋体"/>
                <w:i w:val="0"/>
                <w:color w:val="auto"/>
                <w:kern w:val="0"/>
                <w:sz w:val="21"/>
                <w:szCs w:val="21"/>
                <w:u w:val="none"/>
                <w:lang w:val="en-US" w:eastAsia="zh-CN" w:bidi="ar"/>
              </w:rPr>
              <w:t>通过码头股权合作等多元方式加强与内外贸集装箱班轮公司合作，争取航商将厦门港打造为亚太地区中转港</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省国资委牵头，省交通运输厅、发改委、商务厅，福州海关、厦门海关配合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r>
              <w:rPr>
                <w:rFonts w:hint="eastAsia" w:ascii="宋体" w:hAnsi="宋体" w:cs="宋体"/>
                <w:i w:val="0"/>
                <w:color w:val="auto"/>
                <w:kern w:val="0"/>
                <w:sz w:val="21"/>
                <w:szCs w:val="21"/>
                <w:u w:val="none"/>
                <w:lang w:val="en-US" w:eastAsia="zh-CN" w:bidi="ar"/>
              </w:rPr>
              <w:t>2</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积极争取国家在我省布局更多粮食、煤炭、</w:t>
            </w:r>
            <w:r>
              <w:rPr>
                <w:rFonts w:hint="eastAsia" w:ascii="宋体" w:hAnsi="宋体" w:cs="宋体"/>
                <w:i w:val="0"/>
                <w:color w:val="auto"/>
                <w:kern w:val="0"/>
                <w:sz w:val="21"/>
                <w:szCs w:val="21"/>
                <w:u w:val="none"/>
                <w:lang w:val="en-US" w:eastAsia="zh-CN" w:bidi="ar"/>
              </w:rPr>
              <w:t>原</w:t>
            </w:r>
            <w:r>
              <w:rPr>
                <w:rFonts w:hint="eastAsia" w:ascii="宋体" w:hAnsi="宋体" w:eastAsia="宋体" w:cs="宋体"/>
                <w:i w:val="0"/>
                <w:color w:val="auto"/>
                <w:kern w:val="0"/>
                <w:sz w:val="21"/>
                <w:szCs w:val="21"/>
                <w:u w:val="none"/>
                <w:lang w:val="en-US" w:eastAsia="zh-CN" w:bidi="ar"/>
              </w:rPr>
              <w:t>油等大宗</w:t>
            </w:r>
            <w:r>
              <w:rPr>
                <w:rFonts w:hint="eastAsia" w:ascii="宋体" w:hAnsi="宋体" w:cs="宋体"/>
                <w:i w:val="0"/>
                <w:color w:val="auto"/>
                <w:kern w:val="0"/>
                <w:sz w:val="21"/>
                <w:szCs w:val="21"/>
                <w:u w:val="none"/>
                <w:lang w:val="en-US" w:eastAsia="zh-CN" w:bidi="ar"/>
              </w:rPr>
              <w:t>物资</w:t>
            </w:r>
            <w:r>
              <w:rPr>
                <w:rFonts w:hint="eastAsia" w:ascii="宋体" w:hAnsi="宋体" w:eastAsia="宋体" w:cs="宋体"/>
                <w:i w:val="0"/>
                <w:color w:val="auto"/>
                <w:kern w:val="0"/>
                <w:sz w:val="21"/>
                <w:szCs w:val="21"/>
                <w:u w:val="none"/>
                <w:lang w:val="en-US" w:eastAsia="zh-CN" w:bidi="ar"/>
              </w:rPr>
              <w:t>储备基地</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省发改委牵头，</w:t>
            </w:r>
            <w:r>
              <w:rPr>
                <w:rFonts w:hint="eastAsia" w:ascii="宋体" w:hAnsi="宋体" w:cs="宋体"/>
                <w:i w:val="0"/>
                <w:color w:val="auto"/>
                <w:kern w:val="0"/>
                <w:sz w:val="21"/>
                <w:szCs w:val="21"/>
                <w:u w:val="none"/>
                <w:lang w:val="en-US" w:eastAsia="zh-CN" w:bidi="ar"/>
              </w:rPr>
              <w:t>省</w:t>
            </w:r>
            <w:r>
              <w:rPr>
                <w:rFonts w:hint="eastAsia" w:ascii="宋体" w:hAnsi="宋体" w:eastAsia="宋体" w:cs="宋体"/>
                <w:i w:val="0"/>
                <w:color w:val="auto"/>
                <w:kern w:val="0"/>
                <w:sz w:val="21"/>
                <w:szCs w:val="21"/>
                <w:u w:val="none"/>
                <w:lang w:val="en-US" w:eastAsia="zh-CN" w:bidi="ar"/>
              </w:rPr>
              <w:t>交通运输厅、国资委，福州海关、厦门海关配合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625" w:type="dxa"/>
            <w:tcMar>
              <w:top w:w="15" w:type="dxa"/>
              <w:left w:w="15" w:type="dxa"/>
              <w:right w:w="15" w:type="dxa"/>
            </w:tcMar>
            <w:vAlign w:val="center"/>
          </w:tcPr>
          <w:p>
            <w:pPr>
              <w:jc w:val="center"/>
              <w:rPr>
                <w:rFonts w:hint="eastAsia"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23</w:t>
            </w:r>
          </w:p>
        </w:tc>
        <w:tc>
          <w:tcPr>
            <w:tcW w:w="1251" w:type="dxa"/>
            <w:vMerge w:val="restart"/>
            <w:tcMar>
              <w:top w:w="15" w:type="dxa"/>
              <w:left w:w="15" w:type="dxa"/>
              <w:right w:w="15" w:type="dxa"/>
            </w:tcMar>
            <w:vAlign w:val="center"/>
          </w:tcPr>
          <w:p>
            <w:pPr>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坚持海陆双向发力，推进港口辐射力持续提升</w:t>
            </w:r>
          </w:p>
        </w:tc>
        <w:tc>
          <w:tcPr>
            <w:tcW w:w="1289" w:type="dxa"/>
            <w:vMerge w:val="restart"/>
            <w:tcMar>
              <w:top w:w="15" w:type="dxa"/>
              <w:left w:w="15" w:type="dxa"/>
              <w:right w:w="15" w:type="dxa"/>
            </w:tcMar>
            <w:vAlign w:val="center"/>
          </w:tcPr>
          <w:p>
            <w:pPr>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大力拓展</w:t>
            </w:r>
            <w:r>
              <w:rPr>
                <w:rFonts w:hint="eastAsia" w:ascii="宋体" w:hAnsi="宋体" w:eastAsia="宋体" w:cs="宋体"/>
                <w:i w:val="0"/>
                <w:color w:val="auto"/>
                <w:kern w:val="0"/>
                <w:sz w:val="21"/>
                <w:szCs w:val="21"/>
                <w:highlight w:val="none"/>
                <w:u w:val="none"/>
                <w:lang w:val="en-US" w:eastAsia="zh-CN" w:bidi="ar"/>
              </w:rPr>
              <w:t>水水</w:t>
            </w:r>
            <w:r>
              <w:rPr>
                <w:rFonts w:hint="eastAsia" w:ascii="宋体" w:hAnsi="宋体" w:eastAsia="宋体" w:cs="宋体"/>
                <w:i w:val="0"/>
                <w:color w:val="auto"/>
                <w:kern w:val="0"/>
                <w:sz w:val="21"/>
                <w:szCs w:val="21"/>
                <w:u w:val="none"/>
                <w:lang w:val="en-US" w:eastAsia="zh-CN" w:bidi="ar"/>
              </w:rPr>
              <w:t>中转业务</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巩固对台大宗散货中转枢纽港地位</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省交通运输厅牵头，国资委、发改委、商务厅，福州海关、厦门海关配合</w:t>
            </w:r>
          </w:p>
        </w:tc>
        <w:tc>
          <w:tcPr>
            <w:tcW w:w="1212" w:type="dxa"/>
            <w:tcMar>
              <w:top w:w="15" w:type="dxa"/>
              <w:left w:w="15" w:type="dxa"/>
              <w:right w:w="15" w:type="dxa"/>
            </w:tcMar>
            <w:vAlign w:val="center"/>
          </w:tcPr>
          <w:p>
            <w:pPr>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3"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r>
              <w:rPr>
                <w:rFonts w:hint="eastAsia" w:ascii="宋体" w:hAnsi="宋体" w:cs="宋体"/>
                <w:i w:val="0"/>
                <w:color w:val="auto"/>
                <w:kern w:val="0"/>
                <w:sz w:val="21"/>
                <w:szCs w:val="21"/>
                <w:u w:val="none"/>
                <w:lang w:val="en-US" w:eastAsia="zh-CN" w:bidi="ar"/>
              </w:rPr>
              <w:t>4</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bidi="ar"/>
              </w:rPr>
            </w:pPr>
            <w:r>
              <w:rPr>
                <w:rFonts w:hint="eastAsia" w:ascii="宋体" w:hAnsi="宋体" w:eastAsia="宋体" w:cs="宋体"/>
                <w:i w:val="0"/>
                <w:color w:val="auto"/>
                <w:kern w:val="0"/>
                <w:sz w:val="21"/>
                <w:szCs w:val="21"/>
                <w:u w:val="none"/>
                <w:lang w:val="en-US" w:eastAsia="zh-CN" w:bidi="ar"/>
              </w:rPr>
              <w:t>推动港口航运协同发展，支持我省航运企业通过租赁、联合、兼并、收购等</w:t>
            </w:r>
            <w:r>
              <w:rPr>
                <w:rFonts w:hint="eastAsia" w:ascii="宋体" w:hAnsi="宋体" w:eastAsia="宋体" w:cs="宋体"/>
                <w:color w:val="auto"/>
                <w:kern w:val="0"/>
                <w:sz w:val="21"/>
                <w:szCs w:val="21"/>
                <w:highlight w:val="none"/>
                <w:u w:val="none"/>
                <w:lang w:val="en-US" w:eastAsia="zh-CN" w:bidi="ar"/>
              </w:rPr>
              <w:t>方式逐步发展壮大，支撑促进港口做大做强</w:t>
            </w:r>
            <w:r>
              <w:rPr>
                <w:rFonts w:hint="eastAsia" w:ascii="宋体" w:hAnsi="宋体" w:cs="宋体"/>
                <w:color w:val="auto"/>
                <w:kern w:val="0"/>
                <w:sz w:val="21"/>
                <w:szCs w:val="21"/>
                <w:highlight w:val="none"/>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省交通运输厅牵头，国资委、发改委、商务厅，福州海关、厦门海关配合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r>
              <w:rPr>
                <w:rFonts w:hint="eastAsia" w:ascii="宋体" w:hAnsi="宋体" w:cs="宋体"/>
                <w:i w:val="0"/>
                <w:color w:val="auto"/>
                <w:kern w:val="0"/>
                <w:sz w:val="21"/>
                <w:szCs w:val="21"/>
                <w:u w:val="none"/>
                <w:lang w:val="en-US" w:eastAsia="zh-CN" w:bidi="ar"/>
              </w:rPr>
              <w:t>5</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深化拓展陆向腹地辐射范围</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发挥港口经营主体腹地拓展主体作用，加强与铁路部门等合资合作，</w:t>
            </w:r>
            <w:r>
              <w:rPr>
                <w:rFonts w:hint="eastAsia" w:ascii="宋体" w:hAnsi="宋体" w:eastAsia="宋体" w:cs="宋体"/>
                <w:i w:val="0"/>
                <w:color w:val="auto"/>
                <w:kern w:val="0"/>
                <w:sz w:val="21"/>
                <w:szCs w:val="21"/>
                <w:u w:val="none"/>
                <w:lang w:val="en-US" w:eastAsia="zh-CN" w:bidi="ar"/>
              </w:rPr>
              <w:t>组建省级多式联运平台公司，形成腹地拓展共同体</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省国资委牵头，省交通运输厅、发改委，福州海关、厦门海关配合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r>
              <w:rPr>
                <w:rFonts w:hint="eastAsia" w:ascii="宋体" w:hAnsi="宋体" w:cs="宋体"/>
                <w:i w:val="0"/>
                <w:color w:val="auto"/>
                <w:kern w:val="0"/>
                <w:sz w:val="21"/>
                <w:szCs w:val="21"/>
                <w:u w:val="none"/>
                <w:lang w:val="en-US" w:eastAsia="zh-CN" w:bidi="ar"/>
              </w:rPr>
              <w:t>6</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港口经营主体</w:t>
            </w:r>
            <w:r>
              <w:rPr>
                <w:rFonts w:hint="eastAsia" w:ascii="宋体" w:hAnsi="宋体" w:eastAsia="宋体" w:cs="宋体"/>
                <w:i w:val="0"/>
                <w:color w:val="auto"/>
                <w:kern w:val="0"/>
                <w:sz w:val="21"/>
                <w:szCs w:val="21"/>
                <w:u w:val="none"/>
                <w:lang w:val="en-US" w:eastAsia="zh-CN" w:bidi="ar"/>
              </w:rPr>
              <w:t>积极到江西、安徽、湖南</w:t>
            </w:r>
            <w:r>
              <w:rPr>
                <w:rFonts w:hint="eastAsia" w:ascii="宋体" w:hAnsi="宋体" w:cs="宋体"/>
                <w:i w:val="0"/>
                <w:color w:val="auto"/>
                <w:kern w:val="0"/>
                <w:sz w:val="21"/>
                <w:szCs w:val="21"/>
                <w:u w:val="none"/>
                <w:lang w:val="en-US" w:eastAsia="zh-CN" w:bidi="ar"/>
              </w:rPr>
              <w:t>、湖北</w:t>
            </w:r>
            <w:r>
              <w:rPr>
                <w:rFonts w:hint="eastAsia" w:ascii="宋体" w:hAnsi="宋体" w:eastAsia="宋体" w:cs="宋体"/>
                <w:i w:val="0"/>
                <w:color w:val="auto"/>
                <w:kern w:val="0"/>
                <w:sz w:val="21"/>
                <w:szCs w:val="21"/>
                <w:u w:val="none"/>
                <w:lang w:val="en-US" w:eastAsia="zh-CN" w:bidi="ar"/>
              </w:rPr>
              <w:t>等内陆地区投资</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参股建设码头、陆地港、物流园区，加大业务网点布局</w:t>
            </w:r>
            <w:r>
              <w:rPr>
                <w:rFonts w:hint="eastAsia" w:ascii="宋体" w:hAnsi="宋体" w:cs="宋体"/>
                <w:i w:val="0"/>
                <w:color w:val="auto"/>
                <w:kern w:val="0"/>
                <w:sz w:val="21"/>
                <w:szCs w:val="21"/>
                <w:u w:val="none"/>
                <w:lang w:val="en-US" w:eastAsia="zh-CN" w:bidi="ar"/>
              </w:rPr>
              <w:t>力度</w:t>
            </w:r>
            <w:r>
              <w:rPr>
                <w:rFonts w:hint="eastAsia" w:ascii="宋体" w:hAnsi="宋体" w:eastAsia="宋体" w:cs="宋体"/>
                <w:i w:val="0"/>
                <w:color w:val="auto"/>
                <w:kern w:val="0"/>
                <w:sz w:val="21"/>
                <w:szCs w:val="21"/>
                <w:u w:val="none"/>
                <w:lang w:val="en-US" w:eastAsia="zh-CN" w:bidi="ar"/>
              </w:rPr>
              <w:t>，吸引更多内陆地区企业来我省建设飞地港</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省国资委牵头，省交通运输厅、发改委、商务厅，福州海关、厦门海关配合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3"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r>
              <w:rPr>
                <w:rFonts w:hint="eastAsia" w:ascii="宋体" w:hAnsi="宋体" w:cs="宋体"/>
                <w:i w:val="0"/>
                <w:color w:val="auto"/>
                <w:kern w:val="0"/>
                <w:sz w:val="21"/>
                <w:szCs w:val="21"/>
                <w:u w:val="none"/>
                <w:lang w:val="en-US" w:eastAsia="zh-CN" w:bidi="ar"/>
              </w:rPr>
              <w:t>7</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强化运输组织，加快推广多式联运“一单制”“一箱制”</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省交通运输厅牵头，省商务厅、发改委、国资委配合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28</w:t>
            </w:r>
          </w:p>
        </w:tc>
        <w:tc>
          <w:tcPr>
            <w:tcW w:w="1251"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坚持多措并举，推进港口服务提质增效</w:t>
            </w: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增强港口集疏运效能及保障能力</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加</w:t>
            </w:r>
            <w:r>
              <w:rPr>
                <w:rFonts w:hint="eastAsia" w:ascii="宋体" w:hAnsi="宋体" w:cs="宋体"/>
                <w:i w:val="0"/>
                <w:color w:val="auto"/>
                <w:kern w:val="0"/>
                <w:sz w:val="21"/>
                <w:szCs w:val="21"/>
                <w:u w:val="none"/>
                <w:lang w:val="en-US" w:eastAsia="zh" w:bidi="ar"/>
              </w:rPr>
              <w:t>快</w:t>
            </w:r>
            <w:r>
              <w:rPr>
                <w:rFonts w:hint="eastAsia" w:ascii="宋体" w:hAnsi="宋体" w:eastAsia="宋体" w:cs="宋体"/>
                <w:i w:val="0"/>
                <w:color w:val="auto"/>
                <w:kern w:val="0"/>
                <w:sz w:val="21"/>
                <w:szCs w:val="21"/>
                <w:u w:val="none"/>
                <w:lang w:val="en-US" w:eastAsia="zh-CN" w:bidi="ar"/>
              </w:rPr>
              <w:t>深水航道、防波堤</w:t>
            </w:r>
            <w:r>
              <w:rPr>
                <w:rFonts w:hint="eastAsia" w:ascii="宋体" w:hAnsi="宋体" w:cs="宋体"/>
                <w:i w:val="0"/>
                <w:color w:val="auto"/>
                <w:kern w:val="0"/>
                <w:sz w:val="21"/>
                <w:szCs w:val="21"/>
                <w:u w:val="none"/>
                <w:lang w:val="en-US" w:eastAsia="zh-CN" w:bidi="ar"/>
              </w:rPr>
              <w:t>等</w:t>
            </w:r>
            <w:r>
              <w:rPr>
                <w:rFonts w:hint="eastAsia" w:ascii="宋体" w:hAnsi="宋体" w:eastAsia="宋体" w:cs="宋体"/>
                <w:i w:val="0"/>
                <w:color w:val="auto"/>
                <w:kern w:val="0"/>
                <w:sz w:val="21"/>
                <w:szCs w:val="21"/>
                <w:u w:val="none"/>
                <w:lang w:val="en-US" w:eastAsia="zh-CN" w:bidi="ar"/>
              </w:rPr>
              <w:t>建设，持续改善重要港湾进港航道条件，强化航道日常运行养护，完善港口支持保障系统</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29</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提升闽江干流航道等级，恢复南平-三明航道正常通航</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省交通运输厅牵头，省发改委配合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2027年底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w:t>
            </w:r>
            <w:r>
              <w:rPr>
                <w:rFonts w:hint="eastAsia" w:ascii="宋体" w:hAnsi="宋体" w:cs="宋体"/>
                <w:i w:val="0"/>
                <w:color w:val="auto"/>
                <w:kern w:val="0"/>
                <w:sz w:val="21"/>
                <w:szCs w:val="21"/>
                <w:u w:val="none"/>
                <w:lang w:val="en-US" w:eastAsia="zh-CN" w:bidi="ar"/>
              </w:rPr>
              <w:t>0</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加快可门、漳湾、</w:t>
            </w:r>
            <w:r>
              <w:rPr>
                <w:rFonts w:hint="eastAsia" w:ascii="宋体" w:hAnsi="宋体" w:cs="宋体"/>
                <w:i w:val="0"/>
                <w:color w:val="auto"/>
                <w:kern w:val="0"/>
                <w:sz w:val="21"/>
                <w:szCs w:val="21"/>
                <w:u w:val="none"/>
                <w:lang w:val="en-US" w:eastAsia="zh-CN" w:bidi="ar"/>
              </w:rPr>
              <w:t>松下、</w:t>
            </w:r>
            <w:r>
              <w:rPr>
                <w:rFonts w:hint="eastAsia" w:ascii="宋体" w:hAnsi="宋体" w:eastAsia="宋体" w:cs="宋体"/>
                <w:i w:val="0"/>
                <w:color w:val="auto"/>
                <w:kern w:val="0"/>
                <w:sz w:val="21"/>
                <w:szCs w:val="21"/>
                <w:u w:val="none"/>
                <w:lang w:val="en-US" w:eastAsia="zh-CN" w:bidi="ar"/>
              </w:rPr>
              <w:t>港尾等疏港铁路及福州市港口后方铁路通道项目建设</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省发改委牵头，省交通运输厅配合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w:t>
            </w:r>
            <w:r>
              <w:rPr>
                <w:rFonts w:hint="eastAsia" w:ascii="宋体" w:hAnsi="宋体" w:cs="宋体"/>
                <w:i w:val="0"/>
                <w:color w:val="auto"/>
                <w:kern w:val="0"/>
                <w:sz w:val="21"/>
                <w:szCs w:val="21"/>
                <w:u w:val="none"/>
                <w:lang w:val="en-US" w:eastAsia="zh-CN" w:bidi="ar"/>
              </w:rPr>
              <w:t>1</w:t>
            </w:r>
          </w:p>
        </w:tc>
        <w:tc>
          <w:tcPr>
            <w:tcW w:w="1251" w:type="dxa"/>
            <w:vMerge w:val="restart"/>
            <w:tcMar>
              <w:top w:w="15" w:type="dxa"/>
              <w:left w:w="15" w:type="dxa"/>
              <w:right w:w="15" w:type="dxa"/>
            </w:tcMar>
            <w:vAlign w:val="center"/>
          </w:tcPr>
          <w:p>
            <w:pPr>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坚持多措并举，推进港口服务提质增效</w:t>
            </w: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提高港航物流作业效率</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建设“福建港口物流信息平台”，推进航运贸易数字化，扩大电子放货、电子提单应用，有效降低人工、单证成本。</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省国资委牵头，省交通运输厅、商务厅</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福州海关、厦门海关配合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2027年底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w:t>
            </w:r>
            <w:r>
              <w:rPr>
                <w:rFonts w:hint="eastAsia" w:ascii="宋体" w:hAnsi="宋体" w:cs="宋体"/>
                <w:i w:val="0"/>
                <w:color w:val="auto"/>
                <w:kern w:val="0"/>
                <w:sz w:val="21"/>
                <w:szCs w:val="21"/>
                <w:u w:val="none"/>
                <w:lang w:val="en-US" w:eastAsia="zh-CN" w:bidi="ar"/>
              </w:rPr>
              <w:t>2</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优化完善港口作业流程，</w:t>
            </w:r>
            <w:r>
              <w:rPr>
                <w:rFonts w:hint="eastAsia" w:ascii="宋体" w:hAnsi="宋体" w:eastAsia="宋体" w:cs="宋体"/>
                <w:color w:val="auto"/>
                <w:kern w:val="0"/>
                <w:sz w:val="21"/>
                <w:szCs w:val="21"/>
                <w:u w:val="none"/>
                <w:lang w:val="en-US" w:eastAsia="zh-CN" w:bidi="ar"/>
              </w:rPr>
              <w:t>推广</w:t>
            </w:r>
            <w:r>
              <w:rPr>
                <w:rFonts w:hint="eastAsia" w:ascii="宋体" w:hAnsi="宋体" w:eastAsia="宋体" w:cs="宋体"/>
                <w:i w:val="0"/>
                <w:color w:val="auto"/>
                <w:kern w:val="0"/>
                <w:sz w:val="21"/>
                <w:szCs w:val="21"/>
                <w:u w:val="none"/>
                <w:lang w:val="en-US" w:eastAsia="zh-CN" w:bidi="ar"/>
              </w:rPr>
              <w:t>“</w:t>
            </w:r>
            <w:r>
              <w:rPr>
                <w:rFonts w:hint="eastAsia" w:ascii="宋体" w:hAnsi="宋体" w:cs="宋体"/>
                <w:i w:val="0"/>
                <w:color w:val="auto"/>
                <w:kern w:val="0"/>
                <w:sz w:val="21"/>
                <w:szCs w:val="21"/>
                <w:u w:val="none"/>
                <w:lang w:val="en-US" w:eastAsia="zh" w:bidi="ar"/>
              </w:rPr>
              <w:t>船边</w:t>
            </w:r>
            <w:r>
              <w:rPr>
                <w:rFonts w:hint="eastAsia" w:ascii="宋体" w:hAnsi="宋体" w:eastAsia="宋体" w:cs="宋体"/>
                <w:i w:val="0"/>
                <w:color w:val="auto"/>
                <w:kern w:val="0"/>
                <w:sz w:val="21"/>
                <w:szCs w:val="21"/>
                <w:u w:val="none"/>
                <w:lang w:val="en-US" w:eastAsia="zh-CN" w:bidi="ar"/>
              </w:rPr>
              <w:t>直提”“抵港直装”作业模式</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w:t>
            </w:r>
            <w:r>
              <w:rPr>
                <w:rFonts w:hint="eastAsia" w:ascii="宋体" w:hAnsi="宋体" w:cs="宋体"/>
                <w:i w:val="0"/>
                <w:color w:val="auto"/>
                <w:kern w:val="0"/>
                <w:sz w:val="21"/>
                <w:szCs w:val="21"/>
                <w:u w:val="none"/>
                <w:lang w:val="en-US" w:eastAsia="zh-CN" w:bidi="ar"/>
              </w:rPr>
              <w:t>商务厅</w:t>
            </w:r>
            <w:r>
              <w:rPr>
                <w:rFonts w:hint="eastAsia" w:ascii="宋体" w:hAnsi="宋体" w:eastAsia="宋体" w:cs="宋体"/>
                <w:i w:val="0"/>
                <w:color w:val="auto"/>
                <w:kern w:val="0"/>
                <w:sz w:val="21"/>
                <w:szCs w:val="21"/>
                <w:u w:val="none"/>
                <w:lang w:val="en-US" w:eastAsia="zh-CN" w:bidi="ar"/>
              </w:rPr>
              <w:t>牵头，省交通运输厅、国资委</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福州海关、厦门海关、</w:t>
            </w:r>
            <w:r>
              <w:rPr>
                <w:rFonts w:hint="eastAsia" w:ascii="宋体" w:hAnsi="宋体"/>
                <w:color w:val="auto"/>
                <w:kern w:val="0"/>
                <w:szCs w:val="21"/>
                <w:lang w:bidi="ar"/>
              </w:rPr>
              <w:t>福建海事局、厦门边检总站</w:t>
            </w:r>
            <w:r>
              <w:rPr>
                <w:rFonts w:hint="eastAsia" w:ascii="宋体" w:hAnsi="宋体" w:eastAsia="宋体" w:cs="宋体"/>
                <w:i w:val="0"/>
                <w:color w:val="auto"/>
                <w:kern w:val="0"/>
                <w:sz w:val="21"/>
                <w:szCs w:val="21"/>
                <w:u w:val="none"/>
                <w:lang w:val="en-US" w:eastAsia="zh-CN" w:bidi="ar"/>
              </w:rPr>
              <w:t>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w:t>
            </w:r>
            <w:r>
              <w:rPr>
                <w:rFonts w:hint="eastAsia" w:ascii="宋体" w:hAnsi="宋体" w:cs="宋体"/>
                <w:i w:val="0"/>
                <w:color w:val="auto"/>
                <w:kern w:val="0"/>
                <w:sz w:val="21"/>
                <w:szCs w:val="21"/>
                <w:u w:val="none"/>
                <w:lang w:val="en-US" w:eastAsia="zh-CN" w:bidi="ar"/>
              </w:rPr>
              <w:t>3</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引导</w:t>
            </w:r>
            <w:r>
              <w:rPr>
                <w:rFonts w:hint="eastAsia" w:ascii="宋体" w:hAnsi="宋体" w:eastAsia="宋体" w:cs="宋体"/>
                <w:i w:val="0"/>
                <w:color w:val="auto"/>
                <w:sz w:val="21"/>
                <w:szCs w:val="21"/>
                <w:u w:val="none"/>
                <w:lang w:val="en-US" w:eastAsia="zh-CN"/>
              </w:rPr>
              <w:t>航运企业扩大支线船队规模，推出更多“蓝色公路”“沿海穿梭”等精品航线，打造全省内、外贸支线运营平台，开通支线“四定”航线（定起讫站点、定途径线路、定班次、定运时）</w:t>
            </w:r>
            <w:r>
              <w:rPr>
                <w:rFonts w:hint="eastAsia" w:ascii="宋体" w:hAnsi="宋体" w:cs="宋体"/>
                <w:i w:val="0"/>
                <w:color w:val="auto"/>
                <w:sz w:val="21"/>
                <w:szCs w:val="21"/>
                <w:u w:val="none"/>
                <w:lang w:val="en-US" w:eastAsia="zh-CN"/>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省交通运输厅牵头，省国资委、商务厅</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福州海关、厦门海关配合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w:t>
            </w:r>
            <w:r>
              <w:rPr>
                <w:rFonts w:hint="eastAsia" w:ascii="宋体" w:hAnsi="宋体" w:cs="宋体"/>
                <w:i w:val="0"/>
                <w:color w:val="auto"/>
                <w:kern w:val="0"/>
                <w:sz w:val="21"/>
                <w:szCs w:val="21"/>
                <w:u w:val="none"/>
                <w:lang w:val="en-US" w:eastAsia="zh-CN" w:bidi="ar"/>
              </w:rPr>
              <w:t>4</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完善提升口岸服务水平</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在福厦关区试点开展进口转关“离港确认”模式，</w:t>
            </w:r>
            <w:r>
              <w:rPr>
                <w:rFonts w:hint="eastAsia" w:ascii="宋体" w:hAnsi="宋体" w:eastAsia="宋体" w:cs="宋体"/>
                <w:i w:val="0"/>
                <w:color w:val="auto"/>
                <w:sz w:val="21"/>
                <w:szCs w:val="21"/>
                <w:u w:val="none"/>
                <w:lang w:val="en-US" w:eastAsia="zh"/>
              </w:rPr>
              <w:t>将海关转关手续和码头作业由“串联”变为“并联”，企业可在未确认境内运输工具的情况下申报转关，提高支线船舶运营灵活性</w:t>
            </w:r>
            <w:r>
              <w:rPr>
                <w:rFonts w:hint="eastAsia" w:ascii="宋体" w:hAnsi="宋体" w:eastAsia="宋体" w:cs="宋体"/>
                <w:i w:val="0"/>
                <w:color w:val="auto"/>
                <w:sz w:val="21"/>
                <w:szCs w:val="21"/>
                <w:u w:val="none"/>
                <w:lang w:val="en-US" w:eastAsia="zh-CN"/>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省商务厅牵头，福州海关、厦门海关、福建海事局、厦门边检总站配合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w:t>
            </w:r>
            <w:r>
              <w:rPr>
                <w:rFonts w:hint="eastAsia" w:ascii="宋体" w:hAnsi="宋体" w:cs="宋体"/>
                <w:i w:val="0"/>
                <w:color w:val="auto"/>
                <w:kern w:val="0"/>
                <w:sz w:val="21"/>
                <w:szCs w:val="21"/>
                <w:u w:val="none"/>
                <w:lang w:val="en-US" w:eastAsia="zh-CN" w:bidi="ar"/>
              </w:rPr>
              <w:t>5</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color w:val="auto"/>
                <w:kern w:val="0"/>
                <w:sz w:val="21"/>
                <w:szCs w:val="21"/>
                <w:lang w:val="en-US" w:eastAsia="zh" w:bidi="ar"/>
              </w:rPr>
              <w:t>借鉴粤港澳大湾区组合港项目，试点开展多式联运监管新模式，优化</w:t>
            </w:r>
            <w:r>
              <w:rPr>
                <w:rFonts w:hint="eastAsia" w:ascii="宋体" w:hAnsi="宋体" w:eastAsia="宋体" w:cs="宋体"/>
                <w:color w:val="auto"/>
                <w:kern w:val="0"/>
                <w:sz w:val="21"/>
                <w:szCs w:val="21"/>
                <w:highlight w:val="none"/>
                <w:lang w:val="en-US" w:eastAsia="zh" w:bidi="ar"/>
              </w:rPr>
              <w:t>水水</w:t>
            </w:r>
            <w:r>
              <w:rPr>
                <w:rFonts w:hint="eastAsia" w:ascii="宋体" w:hAnsi="宋体" w:eastAsia="宋体" w:cs="宋体"/>
                <w:color w:val="auto"/>
                <w:kern w:val="0"/>
                <w:sz w:val="21"/>
                <w:szCs w:val="21"/>
                <w:lang w:val="en-US" w:eastAsia="zh" w:bidi="ar"/>
              </w:rPr>
              <w:t>中转监管流程，开展我省沿海及内河分属不同关区的港口，共享港口代码</w:t>
            </w:r>
            <w:r>
              <w:rPr>
                <w:rFonts w:hint="eastAsia" w:ascii="宋体" w:hAnsi="宋体" w:eastAsia="宋体" w:cs="宋体"/>
                <w:color w:val="auto"/>
                <w:kern w:val="0"/>
                <w:sz w:val="21"/>
                <w:szCs w:val="21"/>
                <w:lang w:val="en-US" w:eastAsia="zh-CN" w:bidi="ar"/>
              </w:rPr>
              <w:t>，货物在各码头间直接通过水路调拨自由流转。</w:t>
            </w:r>
            <w:r>
              <w:rPr>
                <w:rFonts w:hint="eastAsia" w:ascii="宋体" w:hAnsi="宋体"/>
                <w:color w:val="auto"/>
                <w:kern w:val="0"/>
                <w:szCs w:val="21"/>
                <w:lang w:bidi="ar"/>
              </w:rPr>
              <w:t>推广应用‘跨境一锁’业务模式，推动闽粤港澳区域协作发展</w:t>
            </w:r>
            <w:r>
              <w:rPr>
                <w:rFonts w:hint="eastAsia" w:ascii="宋体" w:hAnsi="宋体"/>
                <w:color w:val="auto"/>
                <w:kern w:val="0"/>
                <w:szCs w:val="21"/>
                <w:lang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省商务厅牵头，福州海关、厦门海关、福建海事局、厦门边检总站配合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w:t>
            </w:r>
            <w:r>
              <w:rPr>
                <w:rFonts w:hint="eastAsia" w:ascii="宋体" w:hAnsi="宋体" w:cs="宋体"/>
                <w:i w:val="0"/>
                <w:color w:val="auto"/>
                <w:kern w:val="0"/>
                <w:sz w:val="21"/>
                <w:szCs w:val="21"/>
                <w:u w:val="none"/>
                <w:lang w:val="en-US" w:eastAsia="zh-CN" w:bidi="ar"/>
              </w:rPr>
              <w:t>6</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建设升级全省“单一窗口”，探索实施海关、边检、海事等查验单位联合登临检查，推动船舶远程智慧电讯检疫，提升货物流转、通关效率，减少船舶停滞期费用</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省商务厅牵头，福州海关、厦门海关、福建海事局、厦门边检总站配合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2027年底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3</w:t>
            </w:r>
            <w:r>
              <w:rPr>
                <w:rFonts w:hint="eastAsia" w:ascii="宋体" w:hAnsi="宋体" w:cs="宋体"/>
                <w:i w:val="0"/>
                <w:color w:val="auto"/>
                <w:kern w:val="0"/>
                <w:sz w:val="21"/>
                <w:szCs w:val="21"/>
                <w:u w:val="none"/>
                <w:lang w:val="en-US" w:eastAsia="zh-CN" w:bidi="ar"/>
              </w:rPr>
              <w:t>7</w:t>
            </w:r>
          </w:p>
        </w:tc>
        <w:tc>
          <w:tcPr>
            <w:tcW w:w="1251"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坚持筑巢引凤，推进临港产业经济做大做强</w:t>
            </w:r>
          </w:p>
        </w:tc>
        <w:tc>
          <w:tcPr>
            <w:tcW w:w="1289"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加快临港产业配套码头建设</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持续推进临港产业配套港区连片开发，重点加快厦门港古雷港区、福州港江阴港区、湄洲湾港秀屿港区石门澳作业区、</w:t>
            </w:r>
            <w:r>
              <w:rPr>
                <w:rFonts w:hint="eastAsia" w:ascii="宋体" w:hAnsi="宋体" w:eastAsia="宋体" w:cs="宋体"/>
                <w:b w:val="0"/>
                <w:bCs w:val="0"/>
                <w:color w:val="auto"/>
                <w:kern w:val="0"/>
                <w:sz w:val="21"/>
                <w:szCs w:val="21"/>
                <w:lang w:val="en-US" w:eastAsia="zh-CN" w:bidi="ar"/>
              </w:rPr>
              <w:t>湄洲湾港斗尾、肖厝港区</w:t>
            </w:r>
            <w:r>
              <w:rPr>
                <w:rFonts w:hint="eastAsia" w:ascii="宋体" w:hAnsi="宋体" w:eastAsia="宋体" w:cs="宋体"/>
                <w:i w:val="0"/>
                <w:color w:val="auto"/>
                <w:kern w:val="0"/>
                <w:sz w:val="21"/>
                <w:szCs w:val="21"/>
                <w:u w:val="none"/>
                <w:lang w:val="en-US" w:eastAsia="zh-CN" w:bidi="ar"/>
              </w:rPr>
              <w:t>码头建设；推进罗源湾港区碧里作业区连片开发；</w:t>
            </w:r>
            <w:r>
              <w:rPr>
                <w:rFonts w:hint="eastAsia" w:ascii="宋体" w:hAnsi="宋体" w:cs="宋体"/>
                <w:i w:val="0"/>
                <w:color w:val="auto"/>
                <w:kern w:val="0"/>
                <w:sz w:val="21"/>
                <w:szCs w:val="21"/>
                <w:u w:val="none"/>
                <w:lang w:val="en-US" w:eastAsia="zh-CN" w:bidi="ar"/>
              </w:rPr>
              <w:t>加快</w:t>
            </w:r>
            <w:r>
              <w:rPr>
                <w:rFonts w:hint="eastAsia" w:ascii="宋体" w:hAnsi="宋体" w:eastAsia="宋体" w:cs="宋体"/>
                <w:i w:val="0"/>
                <w:color w:val="auto"/>
                <w:kern w:val="0"/>
                <w:sz w:val="21"/>
                <w:szCs w:val="21"/>
                <w:u w:val="none"/>
                <w:lang w:val="en-US" w:eastAsia="zh-CN" w:bidi="ar"/>
              </w:rPr>
              <w:t>福州港松下港区、三都澳港区</w:t>
            </w:r>
            <w:r>
              <w:rPr>
                <w:rFonts w:hint="eastAsia" w:ascii="宋体" w:hAnsi="宋体" w:cs="宋体"/>
                <w:i w:val="0"/>
                <w:color w:val="auto"/>
                <w:kern w:val="0"/>
                <w:sz w:val="21"/>
                <w:szCs w:val="21"/>
                <w:u w:val="none"/>
                <w:lang w:val="en-US" w:eastAsia="zh-CN" w:bidi="ar"/>
              </w:rPr>
              <w:t>，厦门港诏安港区</w:t>
            </w:r>
            <w:r>
              <w:rPr>
                <w:rFonts w:hint="eastAsia" w:ascii="宋体" w:hAnsi="宋体" w:eastAsia="宋体" w:cs="宋体"/>
                <w:i w:val="0"/>
                <w:color w:val="auto"/>
                <w:kern w:val="0"/>
                <w:sz w:val="21"/>
                <w:szCs w:val="21"/>
                <w:u w:val="none"/>
                <w:lang w:val="en-US" w:eastAsia="zh-CN" w:bidi="ar"/>
              </w:rPr>
              <w:t>建设。</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省发改委牵头，省交通运输厅、自然资源厅配合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38</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restart"/>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建立港产联动发展机制</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各地建立港产联动发展协调机制，及时协调解决港口和临港产业发展过程中的问题</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省发改委牵头，省工信厅、交通运输厅、商务厅、自然资源厅、福州海关、厦门海关、福建海事局、厦门边检总站配合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39</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各地系统编制临港产业发展规划，充分衔接港口规划，逐步形成“以港带产，以产促港”的港产联动发展格局</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省发改委牵头，省工信厅、交通运输厅、商务厅、自然资源厅配合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val="en-US" w:eastAsia="zh-CN"/>
              </w:rPr>
              <w:t>2027年底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4</w:t>
            </w:r>
            <w:r>
              <w:rPr>
                <w:rFonts w:hint="eastAsia" w:ascii="宋体" w:hAnsi="宋体" w:cs="宋体"/>
                <w:i w:val="0"/>
                <w:color w:val="auto"/>
                <w:kern w:val="0"/>
                <w:sz w:val="21"/>
                <w:szCs w:val="21"/>
                <w:u w:val="none"/>
                <w:lang w:val="en-US" w:eastAsia="zh-CN" w:bidi="ar"/>
              </w:rPr>
              <w:t>0</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强化港航建设用地、用海、地材等资源要素保障</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省发改委牵头，省工信厅、交通运输厅、自然资源厅配合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4</w:t>
            </w:r>
            <w:r>
              <w:rPr>
                <w:rFonts w:hint="eastAsia" w:ascii="宋体" w:hAnsi="宋体" w:cs="宋体"/>
                <w:i w:val="0"/>
                <w:color w:val="auto"/>
                <w:kern w:val="0"/>
                <w:sz w:val="21"/>
                <w:szCs w:val="21"/>
                <w:u w:val="none"/>
                <w:lang w:val="en-US" w:eastAsia="zh-CN" w:bidi="ar"/>
              </w:rPr>
              <w:t>1</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加</w:t>
            </w:r>
            <w:r>
              <w:rPr>
                <w:rFonts w:hint="eastAsia" w:ascii="宋体" w:hAnsi="宋体" w:eastAsia="宋体" w:cs="宋体"/>
                <w:i w:val="0"/>
                <w:color w:val="auto"/>
                <w:kern w:val="0"/>
                <w:sz w:val="21"/>
                <w:szCs w:val="21"/>
                <w:u w:val="none"/>
                <w:lang w:val="en-US" w:eastAsia="zh-CN" w:bidi="ar"/>
              </w:rPr>
              <w:t>强招商引资，引进行业龙头企业投资临港产业，完善上下游产业链，形成临港产业规模集群效应</w:t>
            </w:r>
            <w:r>
              <w:rPr>
                <w:rFonts w:hint="eastAsia" w:ascii="宋体" w:hAnsi="宋体" w:cs="宋体"/>
                <w:i w:val="0"/>
                <w:color w:val="auto"/>
                <w:kern w:val="0"/>
                <w:sz w:val="21"/>
                <w:szCs w:val="21"/>
                <w:u w:val="none"/>
                <w:lang w:val="en-US"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省发改委牵头，省工信厅、交通运输厅、商务厅、自然资源厅配合</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w:t>
            </w:r>
            <w:r>
              <w:rPr>
                <w:rFonts w:hint="eastAsia" w:ascii="宋体" w:hAnsi="宋体" w:cs="宋体"/>
                <w:i w:val="0"/>
                <w:color w:val="auto"/>
                <w:kern w:val="0"/>
                <w:sz w:val="21"/>
                <w:szCs w:val="21"/>
                <w:u w:val="none"/>
                <w:lang w:val="en-US" w:eastAsia="zh-CN" w:bidi="ar"/>
              </w:rPr>
              <w:t>2</w:t>
            </w:r>
          </w:p>
        </w:tc>
        <w:tc>
          <w:tcPr>
            <w:tcW w:w="1251" w:type="dxa"/>
            <w:vMerge w:val="restart"/>
            <w:tcMar>
              <w:top w:w="15" w:type="dxa"/>
              <w:left w:w="15" w:type="dxa"/>
              <w:right w:w="15" w:type="dxa"/>
            </w:tcMar>
            <w:vAlign w:val="center"/>
          </w:tcPr>
          <w:p>
            <w:pPr>
              <w:jc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保障措施</w:t>
            </w:r>
          </w:p>
        </w:tc>
        <w:tc>
          <w:tcPr>
            <w:tcW w:w="1289" w:type="dxa"/>
            <w:vMerge w:val="restart"/>
            <w:tcMar>
              <w:top w:w="15" w:type="dxa"/>
              <w:left w:w="15" w:type="dxa"/>
              <w:right w:w="15" w:type="dxa"/>
            </w:tcMar>
            <w:vAlign w:val="center"/>
          </w:tcPr>
          <w:p>
            <w:pPr>
              <w:jc w:val="center"/>
              <w:rPr>
                <w:rFonts w:hint="eastAsia" w:ascii="宋体" w:hAnsi="宋体" w:eastAsia="宋体" w:cs="宋体"/>
                <w:i w:val="0"/>
                <w:color w:val="auto"/>
                <w:sz w:val="21"/>
                <w:szCs w:val="21"/>
                <w:u w:val="none"/>
                <w:lang w:val="en-US" w:eastAsia="zh-CN" w:bidi="ar"/>
              </w:rPr>
            </w:pPr>
            <w:r>
              <w:rPr>
                <w:rFonts w:hint="eastAsia" w:ascii="宋体" w:hAnsi="宋体" w:eastAsia="宋体" w:cs="宋体"/>
                <w:b w:val="0"/>
                <w:bCs w:val="0"/>
                <w:color w:val="auto"/>
                <w:kern w:val="0"/>
                <w:sz w:val="21"/>
                <w:szCs w:val="21"/>
                <w:u w:val="none"/>
                <w:shd w:val="clear" w:color="auto" w:fill="auto"/>
                <w:lang w:val="en-US" w:eastAsia="zh-CN" w:bidi="ar"/>
              </w:rPr>
              <w:t>加强组织领导</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color w:val="auto"/>
                <w:kern w:val="0"/>
                <w:sz w:val="21"/>
                <w:szCs w:val="21"/>
                <w:highlight w:val="none"/>
                <w:u w:val="none"/>
                <w:lang w:eastAsia="zh-CN" w:bidi="ar"/>
              </w:rPr>
              <w:t>各级各</w:t>
            </w:r>
            <w:r>
              <w:rPr>
                <w:rFonts w:hint="eastAsia" w:ascii="宋体" w:hAnsi="宋体" w:cs="宋体"/>
                <w:color w:val="auto"/>
                <w:kern w:val="0"/>
                <w:sz w:val="21"/>
                <w:szCs w:val="21"/>
                <w:highlight w:val="none"/>
                <w:u w:val="none"/>
                <w:lang w:eastAsia="zh" w:bidi="ar"/>
              </w:rPr>
              <w:t>有关</w:t>
            </w:r>
            <w:r>
              <w:rPr>
                <w:rFonts w:hint="eastAsia" w:ascii="宋体" w:hAnsi="宋体" w:eastAsia="宋体" w:cs="宋体"/>
                <w:color w:val="auto"/>
                <w:kern w:val="0"/>
                <w:sz w:val="21"/>
                <w:szCs w:val="21"/>
                <w:highlight w:val="none"/>
                <w:u w:val="none"/>
                <w:lang w:eastAsia="zh-CN" w:bidi="ar"/>
              </w:rPr>
              <w:t>部门研究细化任务措施，推进各项工作落实</w:t>
            </w:r>
            <w:r>
              <w:rPr>
                <w:rFonts w:hint="eastAsia" w:ascii="宋体" w:hAnsi="宋体" w:cs="宋体"/>
                <w:color w:val="auto"/>
                <w:kern w:val="0"/>
                <w:sz w:val="21"/>
                <w:szCs w:val="21"/>
                <w:highlight w:val="none"/>
                <w:u w:val="none"/>
                <w:lang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方案中相关部门</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sz w:val="21"/>
                <w:szCs w:val="21"/>
                <w:u w:val="none"/>
                <w:lang w:val="en-US" w:eastAsia="zh-CN"/>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w:t>
            </w:r>
            <w:r>
              <w:rPr>
                <w:rFonts w:hint="eastAsia" w:ascii="宋体" w:hAnsi="宋体" w:cs="宋体"/>
                <w:i w:val="0"/>
                <w:color w:val="auto"/>
                <w:kern w:val="0"/>
                <w:sz w:val="21"/>
                <w:szCs w:val="21"/>
                <w:u w:val="none"/>
                <w:lang w:val="en-US" w:eastAsia="zh-CN" w:bidi="ar"/>
              </w:rPr>
              <w:t>3</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lang w:val="en-US" w:eastAsia="zh-CN"/>
              </w:rPr>
            </w:pPr>
          </w:p>
        </w:tc>
        <w:tc>
          <w:tcPr>
            <w:tcW w:w="1289"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lang w:val="en-US" w:eastAsia="zh-CN" w:bidi="ar"/>
              </w:rPr>
            </w:pP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color w:val="auto"/>
                <w:kern w:val="0"/>
                <w:sz w:val="21"/>
                <w:szCs w:val="21"/>
                <w:u w:val="none"/>
                <w:lang w:eastAsia="zh-CN" w:bidi="ar"/>
              </w:rPr>
              <w:t>省国资委优化对省港口集团考核评价体系，将港口生产指标纳入</w:t>
            </w:r>
            <w:r>
              <w:rPr>
                <w:rFonts w:hint="eastAsia" w:ascii="宋体" w:hAnsi="宋体" w:eastAsia="宋体" w:cs="宋体"/>
                <w:color w:val="auto"/>
                <w:kern w:val="0"/>
                <w:sz w:val="21"/>
                <w:szCs w:val="21"/>
                <w:highlight w:val="none"/>
                <w:u w:val="none"/>
                <w:lang w:eastAsia="zh-CN" w:bidi="ar"/>
              </w:rPr>
              <w:t>企业经营业绩</w:t>
            </w:r>
            <w:r>
              <w:rPr>
                <w:rFonts w:hint="eastAsia" w:ascii="宋体" w:hAnsi="宋体" w:eastAsia="宋体" w:cs="宋体"/>
                <w:color w:val="auto"/>
                <w:kern w:val="0"/>
                <w:sz w:val="21"/>
                <w:szCs w:val="21"/>
                <w:u w:val="none"/>
                <w:lang w:eastAsia="zh-CN" w:bidi="ar"/>
              </w:rPr>
              <w:t>考核</w:t>
            </w:r>
            <w:r>
              <w:rPr>
                <w:rFonts w:hint="eastAsia" w:ascii="宋体" w:hAnsi="宋体" w:cs="宋体"/>
                <w:color w:val="auto"/>
                <w:kern w:val="0"/>
                <w:sz w:val="21"/>
                <w:szCs w:val="21"/>
                <w:u w:val="none"/>
                <w:lang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color w:val="auto"/>
                <w:kern w:val="0"/>
                <w:sz w:val="21"/>
                <w:szCs w:val="21"/>
                <w:highlight w:val="none"/>
                <w:u w:val="none"/>
                <w:lang w:eastAsia="zh-CN" w:bidi="ar"/>
              </w:rPr>
              <w:t>省国资委</w:t>
            </w:r>
            <w:r>
              <w:rPr>
                <w:rFonts w:hint="eastAsia" w:ascii="宋体" w:hAnsi="宋体" w:eastAsia="宋体" w:cs="宋体"/>
                <w:color w:val="auto"/>
                <w:kern w:val="0"/>
                <w:sz w:val="21"/>
                <w:szCs w:val="21"/>
                <w:highlight w:val="none"/>
                <w:u w:val="none"/>
                <w:lang w:val="en-US" w:eastAsia="zh-CN" w:bidi="ar"/>
              </w:rPr>
              <w:t>牵头</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sz w:val="21"/>
                <w:szCs w:val="21"/>
                <w:u w:val="none"/>
                <w:lang w:val="en-US" w:eastAsia="zh-CN"/>
              </w:rPr>
              <w:t>202</w:t>
            </w:r>
            <w:r>
              <w:rPr>
                <w:rFonts w:hint="eastAsia" w:ascii="宋体" w:hAnsi="宋体" w:cs="宋体"/>
                <w:i w:val="0"/>
                <w:color w:val="auto"/>
                <w:sz w:val="21"/>
                <w:szCs w:val="21"/>
                <w:u w:val="none"/>
                <w:lang w:val="en-US" w:eastAsia="zh"/>
              </w:rPr>
              <w:t>5</w:t>
            </w:r>
            <w:r>
              <w:rPr>
                <w:rFonts w:hint="eastAsia" w:ascii="宋体" w:hAnsi="宋体" w:eastAsia="宋体" w:cs="宋体"/>
                <w:i w:val="0"/>
                <w:color w:val="auto"/>
                <w:sz w:val="21"/>
                <w:szCs w:val="21"/>
                <w:u w:val="none"/>
                <w:lang w:val="en-US" w:eastAsia="zh-CN"/>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w:t>
            </w:r>
            <w:r>
              <w:rPr>
                <w:rFonts w:hint="eastAsia" w:ascii="宋体" w:hAnsi="宋体" w:cs="宋体"/>
                <w:i w:val="0"/>
                <w:color w:val="auto"/>
                <w:kern w:val="0"/>
                <w:sz w:val="21"/>
                <w:szCs w:val="21"/>
                <w:u w:val="none"/>
                <w:lang w:val="en-US" w:eastAsia="zh-CN" w:bidi="ar"/>
              </w:rPr>
              <w:t>4</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lang w:val="en-US" w:eastAsia="zh-CN"/>
              </w:rPr>
            </w:pPr>
          </w:p>
        </w:tc>
        <w:tc>
          <w:tcPr>
            <w:tcW w:w="1289" w:type="dxa"/>
            <w:tcMar>
              <w:top w:w="15" w:type="dxa"/>
              <w:left w:w="15" w:type="dxa"/>
              <w:right w:w="15" w:type="dxa"/>
            </w:tcMar>
            <w:vAlign w:val="center"/>
          </w:tcPr>
          <w:p>
            <w:pPr>
              <w:jc w:val="center"/>
              <w:rPr>
                <w:rFonts w:hint="eastAsia" w:ascii="宋体" w:hAnsi="宋体" w:eastAsia="宋体" w:cs="宋体"/>
                <w:i w:val="0"/>
                <w:color w:val="auto"/>
                <w:sz w:val="21"/>
                <w:szCs w:val="21"/>
                <w:u w:val="none"/>
                <w:lang w:val="en-US" w:eastAsia="zh-CN" w:bidi="ar"/>
              </w:rPr>
            </w:pPr>
            <w:r>
              <w:rPr>
                <w:rFonts w:hint="eastAsia" w:ascii="宋体" w:hAnsi="宋体" w:eastAsia="宋体" w:cs="宋体"/>
                <w:b w:val="0"/>
                <w:bCs w:val="0"/>
                <w:color w:val="auto"/>
                <w:kern w:val="0"/>
                <w:sz w:val="21"/>
                <w:szCs w:val="21"/>
                <w:u w:val="none"/>
                <w:shd w:val="clear" w:color="auto" w:fill="auto"/>
                <w:lang w:val="en-US" w:eastAsia="zh-CN" w:bidi="ar"/>
              </w:rPr>
              <w:t>加强政策支持</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u w:val="none"/>
                <w:lang w:eastAsia="zh-CN" w:bidi="ar"/>
              </w:rPr>
            </w:pPr>
            <w:r>
              <w:rPr>
                <w:rFonts w:hint="eastAsia" w:ascii="宋体" w:hAnsi="宋体" w:eastAsia="宋体" w:cs="宋体"/>
                <w:b w:val="0"/>
                <w:bCs w:val="0"/>
                <w:color w:val="auto"/>
                <w:kern w:val="0"/>
                <w:sz w:val="21"/>
                <w:szCs w:val="21"/>
                <w:highlight w:val="none"/>
                <w:u w:val="none"/>
                <w:shd w:val="clear"/>
                <w:lang w:val="en-US" w:eastAsia="zh-CN" w:bidi="ar"/>
              </w:rPr>
              <w:t>积极争取中央预算内投资、车购税等资金支持港口基础设施建设，统筹安排省级补助资金支持公共航道、锚地、防波堤、港口支持保障系统等港口公共基础设施的建设、养护，市、县两级加大资金投入，强化资金保障</w:t>
            </w:r>
            <w:r>
              <w:rPr>
                <w:rFonts w:hint="eastAsia" w:ascii="宋体" w:hAnsi="宋体" w:eastAsia="宋体" w:cs="宋体"/>
                <w:i w:val="0"/>
                <w:caps w:val="0"/>
                <w:color w:val="auto"/>
                <w:spacing w:val="0"/>
                <w:kern w:val="0"/>
                <w:sz w:val="21"/>
                <w:szCs w:val="21"/>
                <w:highlight w:val="none"/>
                <w:u w:val="none"/>
                <w:shd w:val="clear"/>
                <w:lang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u w:val="none"/>
                <w:lang w:val="en-US" w:eastAsia="zh-CN" w:bidi="ar"/>
              </w:rPr>
            </w:pPr>
            <w:r>
              <w:rPr>
                <w:rFonts w:hint="eastAsia" w:ascii="宋体" w:hAnsi="宋体" w:cs="宋体"/>
                <w:color w:val="auto"/>
                <w:kern w:val="0"/>
                <w:sz w:val="21"/>
                <w:szCs w:val="21"/>
                <w:highlight w:val="none"/>
                <w:u w:val="none"/>
                <w:lang w:val="en-US" w:eastAsia="zh-CN" w:bidi="ar"/>
              </w:rPr>
              <w:t>省财政厅、发改委、</w:t>
            </w:r>
            <w:r>
              <w:rPr>
                <w:rFonts w:hint="eastAsia" w:ascii="宋体" w:hAnsi="宋体" w:eastAsia="宋体" w:cs="宋体"/>
                <w:color w:val="auto"/>
                <w:kern w:val="0"/>
                <w:sz w:val="21"/>
                <w:szCs w:val="21"/>
                <w:highlight w:val="none"/>
                <w:u w:val="none"/>
                <w:lang w:val="en-US" w:eastAsia="zh-CN" w:bidi="ar"/>
              </w:rPr>
              <w:t>交通运输厅</w:t>
            </w:r>
            <w:r>
              <w:rPr>
                <w:rFonts w:hint="eastAsia" w:ascii="宋体" w:hAnsi="宋体" w:cs="宋体"/>
                <w:color w:val="auto"/>
                <w:kern w:val="0"/>
                <w:sz w:val="21"/>
                <w:szCs w:val="21"/>
                <w:highlight w:val="none"/>
                <w:u w:val="none"/>
                <w:lang w:val="en-US" w:eastAsia="zh-CN" w:bidi="ar"/>
              </w:rPr>
              <w:t>按职责落实</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val="en-US" w:eastAsia="zh-CN"/>
              </w:rPr>
              <w:t>2025-2027年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625" w:type="dxa"/>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 w:bidi="ar"/>
              </w:rPr>
            </w:pPr>
            <w:r>
              <w:rPr>
                <w:rFonts w:hint="eastAsia" w:ascii="宋体" w:hAnsi="宋体" w:cs="宋体"/>
                <w:i w:val="0"/>
                <w:color w:val="auto"/>
                <w:kern w:val="0"/>
                <w:sz w:val="21"/>
                <w:szCs w:val="21"/>
                <w:u w:val="none"/>
                <w:lang w:val="en-US" w:eastAsia="zh-CN" w:bidi="ar"/>
              </w:rPr>
              <w:t>45</w:t>
            </w:r>
          </w:p>
        </w:tc>
        <w:tc>
          <w:tcPr>
            <w:tcW w:w="1251" w:type="dxa"/>
            <w:vMerge w:val="continue"/>
            <w:tcMar>
              <w:top w:w="15" w:type="dxa"/>
              <w:left w:w="15" w:type="dxa"/>
              <w:right w:w="15" w:type="dxa"/>
            </w:tcMar>
            <w:vAlign w:val="center"/>
          </w:tcPr>
          <w:p>
            <w:pPr>
              <w:jc w:val="center"/>
              <w:rPr>
                <w:rFonts w:hint="eastAsia" w:ascii="宋体" w:hAnsi="宋体" w:eastAsia="宋体" w:cs="宋体"/>
                <w:i w:val="0"/>
                <w:color w:val="auto"/>
                <w:sz w:val="21"/>
                <w:szCs w:val="21"/>
                <w:u w:val="none"/>
                <w:lang w:val="en-US" w:eastAsia="zh-CN"/>
              </w:rPr>
            </w:pPr>
          </w:p>
        </w:tc>
        <w:tc>
          <w:tcPr>
            <w:tcW w:w="1289" w:type="dxa"/>
            <w:tcMar>
              <w:top w:w="15" w:type="dxa"/>
              <w:left w:w="15" w:type="dxa"/>
              <w:right w:w="15" w:type="dxa"/>
            </w:tcMar>
            <w:vAlign w:val="center"/>
          </w:tcPr>
          <w:p>
            <w:pPr>
              <w:jc w:val="center"/>
              <w:rPr>
                <w:rFonts w:hint="eastAsia" w:ascii="宋体" w:hAnsi="宋体" w:eastAsia="宋体" w:cs="宋体"/>
                <w:i w:val="0"/>
                <w:color w:val="auto"/>
                <w:sz w:val="21"/>
                <w:szCs w:val="21"/>
                <w:u w:val="none"/>
              </w:rPr>
            </w:pPr>
            <w:r>
              <w:rPr>
                <w:rFonts w:hint="eastAsia" w:ascii="宋体" w:hAnsi="宋体" w:eastAsia="宋体" w:cs="宋体"/>
                <w:b w:val="0"/>
                <w:bCs w:val="0"/>
                <w:color w:val="auto"/>
                <w:kern w:val="0"/>
                <w:sz w:val="21"/>
                <w:szCs w:val="21"/>
                <w:u w:val="none"/>
                <w:shd w:val="clear" w:color="auto" w:fill="auto"/>
                <w:lang w:val="en-US" w:eastAsia="zh-CN" w:bidi="ar"/>
              </w:rPr>
              <w:t>加强政策支持</w:t>
            </w:r>
          </w:p>
        </w:tc>
        <w:tc>
          <w:tcPr>
            <w:tcW w:w="5897" w:type="dxa"/>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color w:val="auto"/>
                <w:kern w:val="0"/>
                <w:sz w:val="21"/>
                <w:szCs w:val="21"/>
                <w:u w:val="none"/>
                <w:shd w:val="clear" w:color="auto" w:fill="auto"/>
                <w:lang w:val="en-US" w:eastAsia="zh-CN" w:bidi="ar"/>
              </w:rPr>
            </w:pPr>
            <w:r>
              <w:rPr>
                <w:rFonts w:hint="eastAsia" w:ascii="宋体" w:hAnsi="宋体" w:eastAsia="宋体" w:cs="宋体"/>
                <w:b w:val="0"/>
                <w:bCs w:val="0"/>
                <w:i w:val="0"/>
                <w:color w:val="auto"/>
                <w:kern w:val="0"/>
                <w:sz w:val="21"/>
                <w:szCs w:val="21"/>
                <w:u w:val="none"/>
                <w:lang w:val="en-US" w:eastAsia="zh-CN" w:bidi="ar"/>
              </w:rPr>
              <w:t>协调</w:t>
            </w:r>
            <w:r>
              <w:rPr>
                <w:rFonts w:hint="eastAsia" w:ascii="宋体" w:hAnsi="宋体" w:eastAsia="宋体" w:cs="宋体"/>
                <w:b w:val="0"/>
                <w:bCs w:val="0"/>
                <w:i w:val="0"/>
                <w:color w:val="auto"/>
                <w:kern w:val="0"/>
                <w:sz w:val="21"/>
                <w:szCs w:val="21"/>
                <w:u w:val="none"/>
                <w:lang w:eastAsia="zh-CN" w:bidi="ar"/>
              </w:rPr>
              <w:t>南昌铁路局参照周边路局大宗散货运价优惠政策，对在福建港口发运货物给予运价优惠</w:t>
            </w:r>
            <w:r>
              <w:rPr>
                <w:rFonts w:hint="eastAsia" w:ascii="宋体" w:hAnsi="宋体" w:cs="宋体"/>
                <w:b w:val="0"/>
                <w:bCs w:val="0"/>
                <w:i w:val="0"/>
                <w:color w:val="auto"/>
                <w:kern w:val="0"/>
                <w:sz w:val="21"/>
                <w:szCs w:val="21"/>
                <w:u w:val="none"/>
                <w:lang w:eastAsia="zh-CN" w:bidi="ar"/>
              </w:rPr>
              <w:t>。</w:t>
            </w:r>
          </w:p>
        </w:tc>
        <w:tc>
          <w:tcPr>
            <w:tcW w:w="3713"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省发改委牵头</w:t>
            </w:r>
          </w:p>
        </w:tc>
        <w:tc>
          <w:tcPr>
            <w:tcW w:w="1212" w:type="dxa"/>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持续推进</w:t>
            </w:r>
          </w:p>
        </w:tc>
      </w:tr>
    </w:tbl>
    <w:p>
      <w:pPr>
        <w:rPr>
          <w:rFonts w:hint="eastAsia"/>
          <w:color w:val="auto"/>
          <w:lang w:val="en-US" w:eastAsia="zh-CN"/>
        </w:rPr>
      </w:pP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A04020102020204"/>
    <w:charset w:val="01"/>
    <w:family w:val="swiss"/>
    <w:pitch w:val="default"/>
    <w:sig w:usb0="00000287" w:usb1="000000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posOffset>4317365</wp:posOffset>
              </wp:positionH>
              <wp:positionV relativeFrom="paragraph">
                <wp:posOffset>0</wp:posOffset>
              </wp:positionV>
              <wp:extent cx="161925" cy="130810"/>
              <wp:effectExtent l="0" t="0" r="0" b="0"/>
              <wp:wrapNone/>
              <wp:docPr id="4097" name="文本框 1"/>
              <wp:cNvGraphicFramePr/>
              <a:graphic xmlns:a="http://schemas.openxmlformats.org/drawingml/2006/main">
                <a:graphicData uri="http://schemas.microsoft.com/office/word/2010/wordprocessingShape">
                  <wps:wsp>
                    <wps:cNvSpPr/>
                    <wps:spPr>
                      <a:xfrm>
                        <a:off x="0" y="0"/>
                        <a:ext cx="161925" cy="130810"/>
                      </a:xfrm>
                      <a:prstGeom prst="rect">
                        <a:avLst/>
                      </a:prstGeom>
                      <a:noFill/>
                      <a:ln>
                        <a:noFill/>
                      </a:ln>
                      <a:effectLst/>
                    </wps:spPr>
                    <wps:txbx>
                      <w:txbxContent>
                        <w:p>
                          <w:pPr>
                            <w:pStyle w:val="7"/>
                          </w:pPr>
                        </w:p>
                      </w:txbxContent>
                    </wps:txbx>
                    <wps:bodyPr vert="horz" wrap="square" lIns="0" tIns="0" rIns="0" bIns="0" anchor="t" anchorCtr="false" upright="false">
                      <a:noAutofit/>
                    </wps:bodyPr>
                  </wps:wsp>
                </a:graphicData>
              </a:graphic>
            </wp:anchor>
          </w:drawing>
        </mc:Choice>
        <mc:Fallback>
          <w:pict>
            <v:rect id="文本框 1" o:spid="_x0000_s1026" o:spt="1" style="position:absolute;left:0pt;margin-left:339.95pt;margin-top:0pt;height:10.3pt;width:12.75pt;mso-position-horizontal-relative:margin;z-index:251659264;mso-width-relative:page;mso-height-relative:page;" filled="f" stroked="f" coordsize="21600,21600" o:gfxdata="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NeIH62AAA&#10;AAcBAAAPAAAAAAAAAAEAIAAAADgAAABkcnMvZG93bnJldi54bWxQSwECFAAUAAAACACHTuJArs89&#10;X88BAAB/AwAADgAAAAAAAAABACAAAAA9AQAAZHJzL2Uyb0RvYy54bWxQSwUGAAAAAAYABgBZAQAA&#10;fgUAAAAA&#10;">
              <v:fill on="f" focussize="0,0"/>
              <v:stroke on="f"/>
              <v:imagedata o:title=""/>
              <o:lock v:ext="edit" aspectratio="f"/>
              <v:textbox inset="0mm,0mm,0mm,0mm">
                <w:txbxContent>
                  <w:p>
                    <w:pPr>
                      <w:pStyle w:val="7"/>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DBjMDI3Yzk5ODI4NDE4NDgwMWU0ZDRlODM3YTcifQ=="/>
  </w:docVars>
  <w:rsids>
    <w:rsidRoot w:val="00172A27"/>
    <w:rsid w:val="00A22F80"/>
    <w:rsid w:val="00C933C1"/>
    <w:rsid w:val="01B1489A"/>
    <w:rsid w:val="02570E56"/>
    <w:rsid w:val="0300100E"/>
    <w:rsid w:val="03575685"/>
    <w:rsid w:val="03AE567B"/>
    <w:rsid w:val="041B44FC"/>
    <w:rsid w:val="04D030FA"/>
    <w:rsid w:val="055E3C09"/>
    <w:rsid w:val="06035722"/>
    <w:rsid w:val="07011E6D"/>
    <w:rsid w:val="072D01BA"/>
    <w:rsid w:val="07970AE4"/>
    <w:rsid w:val="08167376"/>
    <w:rsid w:val="08F9780C"/>
    <w:rsid w:val="098B6238"/>
    <w:rsid w:val="0A2474CE"/>
    <w:rsid w:val="0AE713B0"/>
    <w:rsid w:val="0B7C32F3"/>
    <w:rsid w:val="0C192EB0"/>
    <w:rsid w:val="0C7FB646"/>
    <w:rsid w:val="0CCB7256"/>
    <w:rsid w:val="0DBB296F"/>
    <w:rsid w:val="0DF61077"/>
    <w:rsid w:val="0F8F04F5"/>
    <w:rsid w:val="116263B1"/>
    <w:rsid w:val="12F478BF"/>
    <w:rsid w:val="1392479F"/>
    <w:rsid w:val="139C1DF5"/>
    <w:rsid w:val="177718E2"/>
    <w:rsid w:val="178C4BCB"/>
    <w:rsid w:val="17E60EB6"/>
    <w:rsid w:val="17FDE253"/>
    <w:rsid w:val="184D2EC3"/>
    <w:rsid w:val="18A155F5"/>
    <w:rsid w:val="19420274"/>
    <w:rsid w:val="196B1EE8"/>
    <w:rsid w:val="1A573D5A"/>
    <w:rsid w:val="1A661DAE"/>
    <w:rsid w:val="1A7EA99B"/>
    <w:rsid w:val="1BBDCDE9"/>
    <w:rsid w:val="1EEE5922"/>
    <w:rsid w:val="1EF03B6D"/>
    <w:rsid w:val="1F7F1159"/>
    <w:rsid w:val="202D3E83"/>
    <w:rsid w:val="209E38F9"/>
    <w:rsid w:val="2168396E"/>
    <w:rsid w:val="21A505AA"/>
    <w:rsid w:val="22251455"/>
    <w:rsid w:val="22C07912"/>
    <w:rsid w:val="22CE3325"/>
    <w:rsid w:val="23696DDC"/>
    <w:rsid w:val="237638D0"/>
    <w:rsid w:val="2432208B"/>
    <w:rsid w:val="248A4E6A"/>
    <w:rsid w:val="24EE2CA4"/>
    <w:rsid w:val="251B01CB"/>
    <w:rsid w:val="266D1168"/>
    <w:rsid w:val="272F2681"/>
    <w:rsid w:val="279D1A3C"/>
    <w:rsid w:val="28D827A4"/>
    <w:rsid w:val="29CA4159"/>
    <w:rsid w:val="2AE7932A"/>
    <w:rsid w:val="2C4A3BC4"/>
    <w:rsid w:val="2C547CF4"/>
    <w:rsid w:val="2C8561A6"/>
    <w:rsid w:val="2CBE62C6"/>
    <w:rsid w:val="2CEB3762"/>
    <w:rsid w:val="2DF47BF5"/>
    <w:rsid w:val="2F472C5B"/>
    <w:rsid w:val="30803E31"/>
    <w:rsid w:val="30CB67AE"/>
    <w:rsid w:val="31D945F5"/>
    <w:rsid w:val="323B0159"/>
    <w:rsid w:val="32C0204D"/>
    <w:rsid w:val="33F39F37"/>
    <w:rsid w:val="344A597B"/>
    <w:rsid w:val="34526B9A"/>
    <w:rsid w:val="34D169FF"/>
    <w:rsid w:val="352F30F9"/>
    <w:rsid w:val="35470822"/>
    <w:rsid w:val="35647C06"/>
    <w:rsid w:val="36F35209"/>
    <w:rsid w:val="371D428F"/>
    <w:rsid w:val="3722579A"/>
    <w:rsid w:val="37DB9183"/>
    <w:rsid w:val="37EF402D"/>
    <w:rsid w:val="389254EC"/>
    <w:rsid w:val="38A24AEC"/>
    <w:rsid w:val="38F76D88"/>
    <w:rsid w:val="39872351"/>
    <w:rsid w:val="3A356769"/>
    <w:rsid w:val="3AAA8D32"/>
    <w:rsid w:val="3B7B1805"/>
    <w:rsid w:val="3BDE1FC3"/>
    <w:rsid w:val="3BE94248"/>
    <w:rsid w:val="3D546E3E"/>
    <w:rsid w:val="3DF60269"/>
    <w:rsid w:val="3E027FCA"/>
    <w:rsid w:val="3E5866C9"/>
    <w:rsid w:val="3EB69A6E"/>
    <w:rsid w:val="3EC2447B"/>
    <w:rsid w:val="3EF9680C"/>
    <w:rsid w:val="3F41209A"/>
    <w:rsid w:val="3F726D78"/>
    <w:rsid w:val="3F7F3AD3"/>
    <w:rsid w:val="3FBFAD0D"/>
    <w:rsid w:val="3FD357BB"/>
    <w:rsid w:val="3FEF0B94"/>
    <w:rsid w:val="3FFA77E5"/>
    <w:rsid w:val="41227147"/>
    <w:rsid w:val="414626D8"/>
    <w:rsid w:val="4176351A"/>
    <w:rsid w:val="43B8482C"/>
    <w:rsid w:val="453B1AA0"/>
    <w:rsid w:val="45595C53"/>
    <w:rsid w:val="45EE27F7"/>
    <w:rsid w:val="4676148D"/>
    <w:rsid w:val="46F66191"/>
    <w:rsid w:val="47511249"/>
    <w:rsid w:val="47970380"/>
    <w:rsid w:val="47AA48EB"/>
    <w:rsid w:val="47F31AFA"/>
    <w:rsid w:val="48B13D53"/>
    <w:rsid w:val="49723EC3"/>
    <w:rsid w:val="498A0F26"/>
    <w:rsid w:val="49CE4B60"/>
    <w:rsid w:val="4A791915"/>
    <w:rsid w:val="4B1138AC"/>
    <w:rsid w:val="4B5975CA"/>
    <w:rsid w:val="4B5A495B"/>
    <w:rsid w:val="4BA37907"/>
    <w:rsid w:val="4BC921A4"/>
    <w:rsid w:val="4C520803"/>
    <w:rsid w:val="4D2624D8"/>
    <w:rsid w:val="4D73C1EC"/>
    <w:rsid w:val="4FB90B70"/>
    <w:rsid w:val="505A6CDE"/>
    <w:rsid w:val="50F7ADB9"/>
    <w:rsid w:val="51E8069F"/>
    <w:rsid w:val="54365AAA"/>
    <w:rsid w:val="547376BA"/>
    <w:rsid w:val="549C7671"/>
    <w:rsid w:val="54A13F1E"/>
    <w:rsid w:val="54DF1B60"/>
    <w:rsid w:val="55893DA7"/>
    <w:rsid w:val="56646DC3"/>
    <w:rsid w:val="56F73297"/>
    <w:rsid w:val="57D57E39"/>
    <w:rsid w:val="5A4F077D"/>
    <w:rsid w:val="5A612529"/>
    <w:rsid w:val="5B44100D"/>
    <w:rsid w:val="5BB7709E"/>
    <w:rsid w:val="5BBB5474"/>
    <w:rsid w:val="5C6D1C92"/>
    <w:rsid w:val="5CA31DCF"/>
    <w:rsid w:val="5DD84CFF"/>
    <w:rsid w:val="5DE31527"/>
    <w:rsid w:val="5DE94658"/>
    <w:rsid w:val="5E3D4B71"/>
    <w:rsid w:val="5ECA4887"/>
    <w:rsid w:val="5ED506C6"/>
    <w:rsid w:val="5F4E3F28"/>
    <w:rsid w:val="5F531E5A"/>
    <w:rsid w:val="5F73C86E"/>
    <w:rsid w:val="5FA331E2"/>
    <w:rsid w:val="5FFFDF76"/>
    <w:rsid w:val="60122292"/>
    <w:rsid w:val="60400AE2"/>
    <w:rsid w:val="604E2834"/>
    <w:rsid w:val="63541E22"/>
    <w:rsid w:val="63DF40B8"/>
    <w:rsid w:val="6410393C"/>
    <w:rsid w:val="65777FE3"/>
    <w:rsid w:val="66686588"/>
    <w:rsid w:val="690604B4"/>
    <w:rsid w:val="696A2B52"/>
    <w:rsid w:val="69B06970"/>
    <w:rsid w:val="69E030CC"/>
    <w:rsid w:val="6BBBEB63"/>
    <w:rsid w:val="6BE0210A"/>
    <w:rsid w:val="6C5CCAB2"/>
    <w:rsid w:val="6C7A0E65"/>
    <w:rsid w:val="6CF30E74"/>
    <w:rsid w:val="6DB9318E"/>
    <w:rsid w:val="6DD6407F"/>
    <w:rsid w:val="6DDFAA94"/>
    <w:rsid w:val="6DE36B8A"/>
    <w:rsid w:val="6E0A2C8A"/>
    <w:rsid w:val="6E2012D1"/>
    <w:rsid w:val="6EFB1593"/>
    <w:rsid w:val="6FFFFBC3"/>
    <w:rsid w:val="70EB0FFB"/>
    <w:rsid w:val="71892CA9"/>
    <w:rsid w:val="71E10E46"/>
    <w:rsid w:val="725A1686"/>
    <w:rsid w:val="72CFFB13"/>
    <w:rsid w:val="732E141F"/>
    <w:rsid w:val="73D9513E"/>
    <w:rsid w:val="73E738A5"/>
    <w:rsid w:val="74031DD0"/>
    <w:rsid w:val="746600DB"/>
    <w:rsid w:val="752A0239"/>
    <w:rsid w:val="75DB1C07"/>
    <w:rsid w:val="75DF0AAA"/>
    <w:rsid w:val="76467374"/>
    <w:rsid w:val="766952C2"/>
    <w:rsid w:val="76CA352B"/>
    <w:rsid w:val="77022D02"/>
    <w:rsid w:val="777730C0"/>
    <w:rsid w:val="777F2CA5"/>
    <w:rsid w:val="77C78B8E"/>
    <w:rsid w:val="77DF01E7"/>
    <w:rsid w:val="78561608"/>
    <w:rsid w:val="78CA29CC"/>
    <w:rsid w:val="79637858"/>
    <w:rsid w:val="79DFA774"/>
    <w:rsid w:val="7A4927DD"/>
    <w:rsid w:val="7B5C01FC"/>
    <w:rsid w:val="7B7F36D8"/>
    <w:rsid w:val="7C34554A"/>
    <w:rsid w:val="7C79F32A"/>
    <w:rsid w:val="7D6B2EA6"/>
    <w:rsid w:val="7DAF1460"/>
    <w:rsid w:val="7DBF389D"/>
    <w:rsid w:val="7EFEEE9F"/>
    <w:rsid w:val="7F4669AF"/>
    <w:rsid w:val="7F4C3891"/>
    <w:rsid w:val="7F7D131B"/>
    <w:rsid w:val="7F85F603"/>
    <w:rsid w:val="7FABEA58"/>
    <w:rsid w:val="7FAFFDF3"/>
    <w:rsid w:val="7FBBF157"/>
    <w:rsid w:val="7FBFE7A0"/>
    <w:rsid w:val="7FFE32AB"/>
    <w:rsid w:val="7FFE62F9"/>
    <w:rsid w:val="7FFF9D8C"/>
    <w:rsid w:val="8EFA300C"/>
    <w:rsid w:val="8FFEF73D"/>
    <w:rsid w:val="9797F0D9"/>
    <w:rsid w:val="9FBB9130"/>
    <w:rsid w:val="A6F59A0A"/>
    <w:rsid w:val="B6CB9F43"/>
    <w:rsid w:val="B77FD270"/>
    <w:rsid w:val="B7FCF243"/>
    <w:rsid w:val="B9CDE1E4"/>
    <w:rsid w:val="BA7951EB"/>
    <w:rsid w:val="BDB6F9BC"/>
    <w:rsid w:val="BEDE1891"/>
    <w:rsid w:val="BEFC695C"/>
    <w:rsid w:val="BEFDA0BE"/>
    <w:rsid w:val="BEFFD1A9"/>
    <w:rsid w:val="BF3F208C"/>
    <w:rsid w:val="BF7C0D3F"/>
    <w:rsid w:val="BFB7D078"/>
    <w:rsid w:val="BFBFE42A"/>
    <w:rsid w:val="BFCFCF0B"/>
    <w:rsid w:val="CEDE9D92"/>
    <w:rsid w:val="D27BBD39"/>
    <w:rsid w:val="D3FE4D52"/>
    <w:rsid w:val="D5E6EFAA"/>
    <w:rsid w:val="D7B728EE"/>
    <w:rsid w:val="D9FAAFF6"/>
    <w:rsid w:val="DB3E32D5"/>
    <w:rsid w:val="DBFE5ED8"/>
    <w:rsid w:val="DDD580ED"/>
    <w:rsid w:val="DEE94470"/>
    <w:rsid w:val="DEFBD8F0"/>
    <w:rsid w:val="DFCBD42A"/>
    <w:rsid w:val="DFDB7B30"/>
    <w:rsid w:val="DFFB923D"/>
    <w:rsid w:val="E35A2873"/>
    <w:rsid w:val="E595C638"/>
    <w:rsid w:val="E5CFADC0"/>
    <w:rsid w:val="E6FF8973"/>
    <w:rsid w:val="E7DF5EA2"/>
    <w:rsid w:val="E7FA2D34"/>
    <w:rsid w:val="EAEB7BA3"/>
    <w:rsid w:val="EB7B5CC6"/>
    <w:rsid w:val="EBFB14FE"/>
    <w:rsid w:val="EDF52FB6"/>
    <w:rsid w:val="EF3B4238"/>
    <w:rsid w:val="EFA68F58"/>
    <w:rsid w:val="EFB7DC98"/>
    <w:rsid w:val="F33FBA11"/>
    <w:rsid w:val="F39F223B"/>
    <w:rsid w:val="F3DFED6F"/>
    <w:rsid w:val="F6DD37C5"/>
    <w:rsid w:val="F79F3C61"/>
    <w:rsid w:val="F7FE99FC"/>
    <w:rsid w:val="F8BA396D"/>
    <w:rsid w:val="F9FB3FC9"/>
    <w:rsid w:val="FA7D0593"/>
    <w:rsid w:val="FBE1062D"/>
    <w:rsid w:val="FBFD8DAE"/>
    <w:rsid w:val="FC7F5C74"/>
    <w:rsid w:val="FCD7B9CD"/>
    <w:rsid w:val="FCDEC2F2"/>
    <w:rsid w:val="FD4F56AD"/>
    <w:rsid w:val="FDA648AE"/>
    <w:rsid w:val="FDFB5040"/>
    <w:rsid w:val="FE73B077"/>
    <w:rsid w:val="FE7C7E70"/>
    <w:rsid w:val="FEBF4ADE"/>
    <w:rsid w:val="FECBBD10"/>
    <w:rsid w:val="FEF721F3"/>
    <w:rsid w:val="FF6BD217"/>
    <w:rsid w:val="FFA2C177"/>
    <w:rsid w:val="FFACAF25"/>
    <w:rsid w:val="FFBED598"/>
    <w:rsid w:val="FFBF69D9"/>
    <w:rsid w:val="FFBF7DB4"/>
    <w:rsid w:val="FFEF5856"/>
    <w:rsid w:val="FFF9F66F"/>
    <w:rsid w:val="FFFFC0E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sz w:val="127"/>
      <w:szCs w:val="127"/>
    </w:rPr>
  </w:style>
  <w:style w:type="paragraph" w:styleId="3">
    <w:name w:val="Body Text Indent 2"/>
    <w:basedOn w:val="1"/>
    <w:next w:val="2"/>
    <w:qFormat/>
    <w:uiPriority w:val="0"/>
    <w:pPr>
      <w:spacing w:after="120" w:line="480" w:lineRule="auto"/>
      <w:ind w:left="200" w:leftChars="200"/>
    </w:pPr>
  </w:style>
  <w:style w:type="paragraph" w:styleId="4">
    <w:name w:val="Body Text Indent"/>
    <w:basedOn w:val="1"/>
    <w:next w:val="1"/>
    <w:qFormat/>
    <w:uiPriority w:val="0"/>
    <w:pPr>
      <w:tabs>
        <w:tab w:val="left" w:pos="8400"/>
      </w:tabs>
      <w:spacing w:line="520" w:lineRule="atLeast"/>
      <w:ind w:firstLine="600"/>
      <w:jc w:val="left"/>
    </w:pPr>
    <w:rPr>
      <w:sz w:val="28"/>
      <w:szCs w:val="20"/>
    </w:rPr>
  </w:style>
  <w:style w:type="paragraph" w:styleId="5">
    <w:name w:val="Balloon Text"/>
    <w:basedOn w:val="1"/>
    <w:next w:val="6"/>
    <w:qFormat/>
    <w:uiPriority w:val="99"/>
    <w:pPr>
      <w:spacing w:line="240" w:lineRule="auto"/>
    </w:pPr>
    <w:rPr>
      <w:sz w:val="18"/>
      <w:szCs w:val="18"/>
    </w:rPr>
  </w:style>
  <w:style w:type="paragraph" w:styleId="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Title"/>
    <w:basedOn w:val="1"/>
    <w:next w:val="1"/>
    <w:qFormat/>
    <w:uiPriority w:val="0"/>
    <w:pPr>
      <w:keepNext/>
      <w:keepLines/>
      <w:spacing w:before="0" w:after="0" w:line="408" w:lineRule="auto"/>
      <w:jc w:val="center"/>
      <w:outlineLvl w:val="0"/>
    </w:pPr>
    <w:rPr>
      <w:b/>
      <w:bCs/>
      <w:color w:val="1A1A1A"/>
      <w:sz w:val="48"/>
      <w:szCs w:val="48"/>
    </w:r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3964</Words>
  <Characters>4064</Characters>
  <Lines>1</Lines>
  <Paragraphs>1</Paragraphs>
  <TotalTime>0</TotalTime>
  <ScaleCrop>false</ScaleCrop>
  <LinksUpToDate>false</LinksUpToDate>
  <CharactersWithSpaces>4064</CharactersWithSpaces>
  <Application>WPS Office_11.8.2.10309_F1E327BC-269C-435d-A152-05C5408002CA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2014-11-17T20:08:00Z</dcterms:created>
  <dc:creator>lenovo</dc:creator>
  <cp:lastModifiedBy>刘映熹</cp:lastModifiedBy>
  <cp:lastPrinted>2024-09-23T08:27:00Z</cp:lastPrinted>
  <dcterms:modified xsi:type="dcterms:W3CDTF">2024-11-04T12:49:09Z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2052-11.8.2.10309</vt:lpwstr>
  </property>
  <property fmtid="{D5CDD505-2E9C-101B-9397-08002B2CF9AE}" pid="3" name="ICV">
    <vt:lpwstr>D0D1C5A4134F3F4E6208C7665993B15C</vt:lpwstr>
  </property>
</Properties>
</file>