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600" w:lineRule="exact"/>
        <w:ind w:left="0" w:leftChars="0" w:firstLine="0" w:firstLineChars="0"/>
        <w:rPr>
          <w:rFonts w:hint="eastAsia" w:ascii="方正仿宋_GB2312" w:hAnsi="方正仿宋_GB2312" w:eastAsia="方正仿宋_GB2312" w:cs="方正仿宋_GB2312"/>
          <w:b/>
          <w:bCs/>
          <w:color w:val="auto"/>
          <w:kern w:val="44"/>
          <w:sz w:val="32"/>
          <w:szCs w:val="32"/>
        </w:rPr>
      </w:pPr>
      <w:r>
        <w:rPr>
          <w:rFonts w:hint="eastAsia" w:ascii="黑体" w:hAnsi="黑体" w:eastAsia="黑体" w:cs="黑体"/>
          <w:color w:val="auto"/>
          <w:kern w:val="44"/>
          <w:sz w:val="32"/>
          <w:szCs w:val="32"/>
        </w:rPr>
        <w:t>附件</w:t>
      </w:r>
    </w:p>
    <w:p>
      <w:pPr>
        <w:pStyle w:val="6"/>
        <w:spacing w:before="120" w:line="600" w:lineRule="exact"/>
        <w:ind w:left="0" w:leftChars="0" w:firstLine="0" w:firstLineChars="0"/>
        <w:jc w:val="center"/>
        <w:rPr>
          <w:rFonts w:hint="eastAsia" w:ascii="方正小标宋简体" w:hAnsi="方正小标宋简体" w:eastAsia="方正小标宋简体" w:cs="方正小标宋简体"/>
          <w:color w:val="auto"/>
          <w:kern w:val="44"/>
          <w:sz w:val="36"/>
          <w:szCs w:val="36"/>
        </w:rPr>
      </w:pPr>
      <w:bookmarkStart w:id="0" w:name="_GoBack"/>
      <w:r>
        <w:rPr>
          <w:rFonts w:hint="eastAsia" w:ascii="方正小标宋简体" w:hAnsi="方正小标宋简体" w:eastAsia="方正小标宋简体" w:cs="方正小标宋简体"/>
          <w:color w:val="auto"/>
          <w:kern w:val="44"/>
          <w:sz w:val="44"/>
          <w:szCs w:val="44"/>
          <w:lang w:eastAsia="zh-CN"/>
        </w:rPr>
        <w:t>第二批</w:t>
      </w:r>
      <w:r>
        <w:rPr>
          <w:rFonts w:hint="eastAsia" w:ascii="方正小标宋简体" w:hAnsi="方正小标宋简体" w:eastAsia="方正小标宋简体" w:cs="方正小标宋简体"/>
          <w:color w:val="auto"/>
          <w:kern w:val="44"/>
          <w:sz w:val="44"/>
          <w:szCs w:val="44"/>
        </w:rPr>
        <w:t>“最美乡村‘福’路”简介</w:t>
      </w:r>
    </w:p>
    <w:bookmarkEnd w:id="0"/>
    <w:p>
      <w:pPr>
        <w:ind w:firstLine="562" w:firstLineChars="200"/>
        <w:rPr>
          <w:rFonts w:hint="eastAsia" w:ascii="方正仿宋_GB2312" w:hAnsi="方正仿宋_GB2312" w:eastAsia="方正仿宋_GB2312" w:cs="方正仿宋_GB2312"/>
          <w:b/>
          <w:color w:val="auto"/>
          <w:sz w:val="28"/>
          <w:szCs w:val="28"/>
        </w:rPr>
      </w:pPr>
    </w:p>
    <w:p>
      <w:pPr>
        <w:adjustRightInd w:val="0"/>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一、宁德市霞浦</w:t>
      </w:r>
      <w:r>
        <w:rPr>
          <w:rFonts w:hint="eastAsia" w:ascii="黑体" w:hAnsi="黑体" w:eastAsia="黑体" w:cs="黑体"/>
          <w:bCs/>
          <w:sz w:val="32"/>
          <w:szCs w:val="32"/>
          <w:lang w:eastAsia="zh-CN"/>
        </w:rPr>
        <w:t>县</w:t>
      </w:r>
      <w:r>
        <w:rPr>
          <w:rFonts w:hint="eastAsia" w:ascii="黑体" w:hAnsi="黑体" w:eastAsia="黑体" w:cs="黑体"/>
          <w:bCs/>
          <w:sz w:val="32"/>
          <w:szCs w:val="32"/>
        </w:rPr>
        <w:t>东海1号旅游公路</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霞浦县为大力推进交通运输生态文明建设，围绕霞浦县打造国际知名、国内一流的全域山海休闲度假目的地全域旅游规划总体定位，将“四好农村路”建设与优美的山海自然旅游资源、独特的人文旅游资源深度融合，助推霞浦全域旅游发展，精心打造“东海1号”旅游公路样板工程。东冲半岛风景观光道“积石至闾峡段”是“东海一号”观光道的重要路段，起于积石村，途经蜘蛛网、海尾、大京、小京等12个村落，终于吕峡村，全线路宽7.5米，三级/四级，为全路幅沥青混凝土路面。其中，建设桥梁10座、涵洞80道、隧道2座，配套观景台、旅游公厕、停车场等工程，附属配套工程慢行道系统全长约24公里，全段彩色沥青路面。</w:t>
      </w:r>
    </w:p>
    <w:p>
      <w:pPr>
        <w:adjustRightInd w:val="0"/>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二、三明市建宁</w:t>
      </w:r>
      <w:r>
        <w:rPr>
          <w:rFonts w:hint="eastAsia" w:ascii="黑体" w:hAnsi="黑体" w:eastAsia="黑体" w:cs="黑体"/>
          <w:bCs/>
          <w:sz w:val="32"/>
          <w:szCs w:val="32"/>
          <w:lang w:eastAsia="zh-CN"/>
        </w:rPr>
        <w:t>县</w:t>
      </w:r>
      <w:r>
        <w:rPr>
          <w:rFonts w:hint="eastAsia" w:ascii="黑体" w:hAnsi="黑体" w:eastAsia="黑体" w:cs="黑体"/>
          <w:bCs/>
          <w:sz w:val="32"/>
          <w:szCs w:val="32"/>
        </w:rPr>
        <w:t>环金铙山旅游示范公路</w:t>
      </w:r>
    </w:p>
    <w:p>
      <w:pPr>
        <w:adjustRightInd w:val="0"/>
        <w:snapToGrid w:val="0"/>
        <w:spacing w:line="600" w:lineRule="exact"/>
        <w:ind w:firstLine="640" w:firstLineChars="200"/>
        <w:jc w:val="left"/>
        <w:rPr>
          <w:rFonts w:hint="eastAsia" w:eastAsia="宋体"/>
          <w:lang w:eastAsia="zh-CN"/>
        </w:rPr>
      </w:pPr>
      <w:r>
        <w:rPr>
          <w:rFonts w:hint="eastAsia" w:ascii="仿宋_GB2312" w:hAnsi="仿宋_GB2312" w:eastAsia="仿宋_GB2312" w:cs="仿宋_GB2312"/>
          <w:sz w:val="32"/>
          <w:szCs w:val="32"/>
        </w:rPr>
        <w:t>环金铙山旅游示范公路由黄河线、城关互通、城高线及城大线“串珠成链”，是建宁县动车北站、高速互通口通往金铙山生态旅游景区的快速通道，沿线不仅有金铙山、高峰景区、莲海玉家、坪上梯田莲海、渔家傲码头等生态旅游景区，还有雪山岽-武镇岭阻击战研学基地、福建读行学堂建宁研学营地等红色党建文化景点，是建宁县重点打造的生态旅游示范路。公路全长32.52公里，由3条县道和1条乡道串联组成，其中二级公路23.589公里，三级公路2.935公里，乡道四级公路6公里。途经旅游观光联络线5条，彩色沥青休闲步道1条，停车休息点5处、观景平台5处以及公共厕所等服务设施。坚持以自然为本，绿中求美，充分体现景观绿化的生态效益和自然美，做到与生态自然风貌的和谐统一。沿线</w:t>
      </w:r>
      <w:r>
        <w:rPr>
          <w:rFonts w:hint="eastAsia" w:ascii="仿宋_GB2312" w:hAnsi="仿宋_GB2312" w:eastAsia="仿宋_GB2312" w:cs="仿宋_GB2312"/>
          <w:sz w:val="32"/>
          <w:szCs w:val="32"/>
          <w:lang w:eastAsia="zh-CN"/>
        </w:rPr>
        <w:t>路</w:t>
      </w:r>
      <w:r>
        <w:rPr>
          <w:rFonts w:hint="eastAsia" w:ascii="仿宋_GB2312" w:hAnsi="仿宋_GB2312" w:eastAsia="仿宋_GB2312" w:cs="仿宋_GB2312"/>
          <w:sz w:val="32"/>
          <w:szCs w:val="32"/>
        </w:rPr>
        <w:t>域环境优美、整洁，附属设施齐全。2022年结合美丽建宁“三清双提”行动对主干线实施“白改黑”，改善出行条件，提升公路品质。</w:t>
      </w:r>
    </w:p>
    <w:p>
      <w:pPr>
        <w:adjustRightInd w:val="0"/>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三、漳州市东山</w:t>
      </w:r>
      <w:r>
        <w:rPr>
          <w:rFonts w:hint="eastAsia" w:ascii="黑体" w:hAnsi="黑体" w:eastAsia="黑体" w:cs="黑体"/>
          <w:bCs/>
          <w:sz w:val="32"/>
          <w:szCs w:val="32"/>
          <w:lang w:eastAsia="zh-CN"/>
        </w:rPr>
        <w:t>县</w:t>
      </w:r>
      <w:r>
        <w:rPr>
          <w:rFonts w:hint="eastAsia" w:ascii="黑体" w:hAnsi="黑体" w:eastAsia="黑体" w:cs="黑体"/>
          <w:bCs/>
          <w:sz w:val="32"/>
          <w:szCs w:val="32"/>
        </w:rPr>
        <w:t>滨海旅游廊道</w:t>
      </w:r>
    </w:p>
    <w:p>
      <w:pPr>
        <w:adjustRightInd w:val="0"/>
        <w:snapToGrid w:val="0"/>
        <w:spacing w:line="600" w:lineRule="exact"/>
        <w:ind w:firstLine="640" w:firstLineChars="200"/>
        <w:jc w:val="left"/>
        <w:rPr>
          <w:rFonts w:hint="eastAsia" w:eastAsia="仿宋_GB2312"/>
          <w:lang w:eastAsia="zh-CN"/>
        </w:rPr>
      </w:pPr>
      <w:r>
        <w:rPr>
          <w:rFonts w:hint="eastAsia" w:ascii="仿宋_GB2312" w:hAnsi="仿宋_GB2312" w:eastAsia="仿宋_GB2312" w:cs="仿宋_GB2312"/>
          <w:sz w:val="32"/>
          <w:szCs w:val="32"/>
        </w:rPr>
        <w:t>滨海旅游廊道位于东山县西埔城区以东，途经杏陈镇、西埔镇、樟塘镇、康美镇和铜陵镇，沿线区域自然资源丰富，有自然生态岸线、海蚀地貌、海岛渔村、红色旅游和遗迹古景等旅游资源。该沿路村庄有怡人的自然风光，渔民风情浓厚，民风淳朴。随着八尺门生态修复治理，该线路承担东山县当前旅游观光廊道作用。道路沿线排水系统采用设置排水沟，部分路段采用通透式自然排水，排水通畅，确保沿线从未出现积水，路线两侧有条件的设置辅道，沿海一侧设置人行道和停车带。同时，采用架桥形式减少占用原生态植被，对沿线裸露山体采用抗候及适应能力较好的木麻黄等绿植及科学修复工艺做好生态保护。</w:t>
      </w:r>
    </w:p>
    <w:p>
      <w:pPr>
        <w:adjustRightInd w:val="0"/>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四、泉州市安溪</w:t>
      </w:r>
      <w:r>
        <w:rPr>
          <w:rFonts w:hint="eastAsia" w:ascii="黑体" w:hAnsi="黑体" w:eastAsia="黑体" w:cs="黑体"/>
          <w:bCs/>
          <w:sz w:val="32"/>
          <w:szCs w:val="32"/>
          <w:lang w:eastAsia="zh-CN"/>
        </w:rPr>
        <w:t>县</w:t>
      </w:r>
      <w:r>
        <w:rPr>
          <w:rFonts w:hint="eastAsia" w:ascii="黑体" w:hAnsi="黑体" w:eastAsia="黑体" w:cs="黑体"/>
          <w:bCs/>
          <w:sz w:val="32"/>
          <w:szCs w:val="32"/>
        </w:rPr>
        <w:t>码雅文化园至初心公园公路</w:t>
      </w:r>
    </w:p>
    <w:p>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溪县码雅文化园至初心公园公路，起于安溪县城厢镇雅兴村，途经蓬莱镇、魁斗镇、参内镇，终于城厢镇经兜村，途经15个村庄，路线全长46.3公里，由12段公路串联组成，其中农村公路约30.619公里，含隧道2座，大桥2座。沿线配套设施完善，有公路驿站3个，建设有休息区、公共厕所、停车场、观景平台、党建宣传区等，路面以沥青混凝土路面为主。道路沿线绿化齐全，养护有序，配套建设港湾式公交亭24座。</w:t>
      </w:r>
    </w:p>
    <w:p>
      <w:pPr>
        <w:adjustRightInd w:val="0"/>
        <w:snapToGrid w:val="0"/>
        <w:spacing w:line="600" w:lineRule="exact"/>
        <w:ind w:firstLine="640" w:firstLineChars="200"/>
        <w:jc w:val="left"/>
        <w:rPr>
          <w:rFonts w:hint="eastAsia" w:eastAsia="仿宋_GB2312"/>
          <w:lang w:eastAsia="zh-CN"/>
        </w:rPr>
      </w:pPr>
      <w:r>
        <w:rPr>
          <w:rFonts w:hint="eastAsia" w:ascii="仿宋_GB2312" w:hAnsi="仿宋_GB2312" w:eastAsia="仿宋_GB2312" w:cs="仿宋_GB2312"/>
          <w:sz w:val="32"/>
          <w:szCs w:val="32"/>
        </w:rPr>
        <w:t>2021年安溪县启动“最美乡村‘福’路”创建工作，打造“最美乡村‘福’路”示范带动走廊，展示近几年来安溪“四好农村路”建设促进产业发展、旅游业发展、乡村振兴的辉煌成就，有效串联“码雅文化园”“清水岩”“溪禾山铁观音文化园”“初心公园”等资源，实现“串珠成链”的效果。</w:t>
      </w:r>
    </w:p>
    <w:p>
      <w:pPr>
        <w:adjustRightInd w:val="0"/>
        <w:snapToGrid w:val="0"/>
        <w:spacing w:line="600" w:lineRule="exact"/>
        <w:ind w:firstLine="640" w:firstLineChars="200"/>
        <w:rPr>
          <w:rFonts w:hint="eastAsia" w:ascii="黑体" w:hAnsi="黑体" w:eastAsia="黑体" w:cs="黑体"/>
          <w:b/>
          <w:sz w:val="32"/>
          <w:szCs w:val="32"/>
        </w:rPr>
      </w:pPr>
      <w:r>
        <w:rPr>
          <w:rFonts w:hint="eastAsia" w:ascii="黑体" w:hAnsi="黑体" w:eastAsia="黑体" w:cs="黑体"/>
          <w:bCs/>
          <w:sz w:val="32"/>
          <w:szCs w:val="32"/>
        </w:rPr>
        <w:t>五、龙岩市武平县环梁野山康养福道</w:t>
      </w:r>
      <w:r>
        <w:rPr>
          <w:rFonts w:hint="eastAsia" w:ascii="黑体" w:hAnsi="黑体" w:eastAsia="黑体" w:cs="黑体"/>
          <w:bCs/>
          <w:sz w:val="32"/>
          <w:szCs w:val="32"/>
        </w:rPr>
        <w:tab/>
      </w:r>
    </w:p>
    <w:p>
      <w:r>
        <w:rPr>
          <w:rFonts w:hint="eastAsia" w:ascii="仿宋_GB2312" w:hAnsi="仿宋_GB2312" w:cs="仿宋_GB2312"/>
        </w:rPr>
        <w:t>武平县环梁野山康养福道路线包含东岗至云寨、园丁至鱼子坎、客都汇至梁野山景区、东岗村－尧禄村旅游公路、环六甲湖自行车骑游道等路线，沿途设停车场1处、驿站1处、牌楼1座、观景台和休息平台各1处、生态停车位1处、布设景观廊架、休闲汀步等，沿线绿化主要采用麻楝、碧桃、夹竹桃、红叶石楠球等，间歇布设各类适应本地生长的树种。环梁野山康养福道坚持硬化、绿化、美化立体施工、同步到位，打造旅游公路、景观道路、生态道路。它的建成通车，大大提升了试验区路网结构，实现了环山“五朵金花”、多彩六甲湖与景区、城区有机联动，最大限度地释放梁野山生态核心竞争力，带动了乡村旅游、全域旅游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2000000000000000000"/>
    <w:charset w:val="86"/>
    <w:family w:val="script"/>
    <w:pitch w:val="default"/>
    <w:sig w:usb0="00000000" w:usb1="00000000" w:usb2="00000012"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方正仿宋_GB2312">
    <w:altName w:val="仿宋"/>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77434"/>
    <w:rsid w:val="60B7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_GB2312"/>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uiPriority w:val="0"/>
    <w:pPr>
      <w:widowControl w:val="0"/>
      <w:spacing w:after="120"/>
      <w:ind w:left="0" w:leftChars="0" w:firstLine="420" w:firstLineChars="200"/>
      <w:jc w:val="left"/>
    </w:pPr>
    <w:rPr>
      <w:rFonts w:ascii="Times New Roman" w:hAnsi="Times New Roman" w:eastAsia="仿宋_GB2312" w:cs="Times New Roman"/>
      <w:kern w:val="2"/>
      <w:sz w:val="32"/>
      <w:szCs w:val="24"/>
      <w:lang w:val="en-US" w:eastAsia="zh-CN" w:bidi="ar-SA"/>
    </w:rPr>
  </w:style>
  <w:style w:type="paragraph" w:styleId="3">
    <w:name w:val="Body Text Indent"/>
    <w:basedOn w:val="1"/>
    <w:next w:val="1"/>
    <w:uiPriority w:val="0"/>
    <w:pPr>
      <w:widowControl w:val="0"/>
      <w:spacing w:after="120"/>
      <w:ind w:left="420" w:leftChars="200" w:firstLine="0" w:firstLineChars="0"/>
      <w:jc w:val="left"/>
    </w:pPr>
    <w:rPr>
      <w:rFonts w:ascii="Times New Roman" w:hAnsi="Times New Roman" w:eastAsia="仿宋_GB2312" w:cs="Times New Roman"/>
      <w:kern w:val="2"/>
      <w:sz w:val="32"/>
      <w:szCs w:val="24"/>
      <w:lang w:val="en-US" w:eastAsia="zh-CN" w:bidi="ar-SA"/>
    </w:rPr>
  </w:style>
  <w:style w:type="paragraph" w:styleId="4">
    <w:name w:val="Body Text"/>
    <w:basedOn w:val="1"/>
    <w:next w:val="5"/>
    <w:uiPriority w:val="0"/>
    <w:pPr>
      <w:spacing w:before="0" w:after="140" w:line="276" w:lineRule="auto"/>
    </w:pPr>
  </w:style>
  <w:style w:type="paragraph" w:customStyle="1" w:styleId="5">
    <w:name w:val="Body Text First Indent1"/>
    <w:basedOn w:val="4"/>
    <w:qFormat/>
    <w:uiPriority w:val="0"/>
    <w:pPr>
      <w:spacing w:line="360" w:lineRule="auto"/>
      <w:ind w:firstLine="100" w:firstLineChars="100"/>
    </w:pPr>
    <w:rPr>
      <w:szCs w:val="24"/>
    </w:rPr>
  </w:style>
  <w:style w:type="paragraph" w:styleId="6">
    <w:name w:val="Body Text Indent 2"/>
    <w:basedOn w:val="1"/>
    <w:uiPriority w:val="0"/>
    <w:pPr>
      <w:spacing w:after="120" w:line="480" w:lineRule="auto"/>
      <w:ind w:left="200" w:leftChars="200"/>
    </w:pPr>
  </w:style>
  <w:style w:type="paragraph" w:customStyle="1" w:styleId="9">
    <w:name w:val="公文正文"/>
    <w:basedOn w:val="1"/>
    <w:uiPriority w:val="0"/>
    <w:pPr>
      <w:spacing w:line="560" w:lineRule="exact"/>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2023-02-20T07:26:00Z</dcterms:created>
  <dc:creator>JTT</dc:creator>
  <cp:lastModifiedBy>JTT</cp:lastModifiedBy>
  <dcterms:modified xsi:type="dcterms:W3CDTF">2023-02-20T07:27:21Z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