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附件2</w:t>
      </w:r>
    </w:p>
    <w:tbl>
      <w:tblPr>
        <w:tblStyle w:val="4"/>
        <w:tblW w:w="7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5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服务设施分类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6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综合服务区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24"/>
                <w:szCs w:val="24"/>
                <w:u w:val="none"/>
                <w:lang w:val="en-US" w:eastAsia="zh-CN" w:bidi="ar"/>
              </w:rPr>
              <w:t>应具备以下功能：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napToGrid w:val="0"/>
                <w:sz w:val="24"/>
                <w:szCs w:val="24"/>
                <w:u w:val="none"/>
                <w:lang w:val="en-US" w:eastAsia="zh-CN" w:bidi="ar"/>
              </w:rPr>
              <w:t>停车场、公共厕所、室外休息室、免费热水点、车辆加水、路网图、垃圾收集设施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"/>
              </w:rPr>
              <w:t>、观景台（仅适用G228路段）、充电站（有条件的可设置加油站）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napToGrid w:val="0"/>
                <w:sz w:val="24"/>
                <w:szCs w:val="24"/>
                <w:u w:val="none"/>
                <w:lang w:val="en-US" w:eastAsia="zh-CN" w:bidi="ar"/>
              </w:rPr>
              <w:t>、特产展示和销售、文化展示、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"/>
              </w:rPr>
              <w:t>室内休息室、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napToGrid w:val="0"/>
                <w:sz w:val="24"/>
                <w:szCs w:val="24"/>
                <w:u w:val="none"/>
                <w:lang w:val="en-US" w:eastAsia="zh-CN" w:bidi="ar"/>
              </w:rPr>
              <w:t>第三卫生间、便利店、公共餐厅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"/>
              </w:rPr>
              <w:t>、无线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" w:eastAsia="zh-CN" w:bidi="ar"/>
              </w:rPr>
              <w:t>wifi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snapToGrid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一般服务区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"/>
              </w:rPr>
              <w:t>应具备以下功能：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"/>
              </w:rPr>
              <w:t>停车场、公共厕所、室外休息室、免费热水点、车辆加水、路网图、垃圾收集设施、充电站。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z w:val="24"/>
                <w:szCs w:val="24"/>
                <w:u w:val="none"/>
                <w:lang w:val="en-US" w:eastAsia="zh-CN" w:bidi="ar"/>
              </w:rPr>
              <w:t>应具备以下功能：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停车场、公共厕所、室外休息室、路网图、充电站。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备注：1.结合《普通国省干线公路服务设施建设实施暂行技术要求》（交办公路函〔2017〕978号）等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有关要求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，对附件1中不同服务设施功能设施要求见上表。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2.附件1中提升服务区改造完成后应具备上表中一般服务区功能。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WRiOTBlNTE5OWZhNGYzNmY5ZTZhYzE2NWIyYzUifQ=="/>
  </w:docVars>
  <w:rsids>
    <w:rsidRoot w:val="2C8B6E9E"/>
    <w:rsid w:val="2C8B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2023-07-21T03:35:00Z</dcterms:created>
  <dc:creator>19754</dc:creator>
  <cp:lastModifiedBy>19754</cp:lastModifiedBy>
  <dcterms:modified xsi:type="dcterms:W3CDTF">2023-07-21T03:35:03Z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474483DC62444367AA3BADA29EE00FBC_11</vt:lpwstr>
  </property>
</Properties>
</file>