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2024-2025年福建省交通运输数据资源管理服务及厅数据资源汇聚平台运维项目</w:t>
      </w:r>
    </w:p>
    <w:p>
      <w:pPr>
        <w:pStyle w:val="null3"/>
        <w:jc w:val="center"/>
        <w:outlineLvl w:val="2"/>
      </w:pPr>
      <w:r>
        <w:rPr>
          <w:sz w:val="28"/>
          <w:b/>
        </w:rPr>
        <w:t>备案编号：</w:t>
      </w:r>
      <w:r>
        <w:rPr>
          <w:sz w:val="28"/>
          <w:b/>
        </w:rPr>
        <w:t>CGXM-2024-350001-05611[2024]05279</w:t>
      </w:r>
    </w:p>
    <w:p>
      <w:pPr>
        <w:pStyle w:val="null3"/>
        <w:jc w:val="center"/>
        <w:outlineLvl w:val="2"/>
      </w:pPr>
      <w:r>
        <w:rPr>
          <w:sz w:val="28"/>
          <w:b/>
        </w:rPr>
        <w:t>项目编号：</w:t>
      </w:r>
      <w:r>
        <w:rPr>
          <w:sz w:val="28"/>
          <w:b/>
        </w:rPr>
        <w:t>[350001]HYG[GK]2024008</w:t>
      </w:r>
    </w:p>
    <w:p>
      <w:pPr>
        <w:pStyle w:val="null3"/>
        <w:jc w:val="center"/>
        <w:outlineLvl w:val="2"/>
      </w:pPr>
      <w:r>
        <w:rPr>
          <w:sz w:val="28"/>
          <w:b/>
        </w:rPr>
        <w:t>采购人：</w:t>
      </w:r>
      <w:r>
        <w:rPr>
          <w:sz w:val="28"/>
          <w:b/>
        </w:rPr>
        <w:t>福建省交通信息通信与应急处置中心</w:t>
      </w:r>
    </w:p>
    <w:p>
      <w:pPr>
        <w:pStyle w:val="null3"/>
        <w:jc w:val="center"/>
        <w:outlineLvl w:val="2"/>
      </w:pPr>
      <w:r>
        <w:rPr>
          <w:sz w:val="28"/>
          <w:b/>
        </w:rPr>
        <w:t>代理机构：</w:t>
      </w:r>
      <w:r>
        <w:rPr>
          <w:sz w:val="28"/>
          <w:b/>
        </w:rPr>
        <w:t>中宏源建设管理有限公司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中宏源建设管理有限公司</w:t>
      </w:r>
      <w:r>
        <w:rPr/>
        <w:t xml:space="preserve"> 采用公开招标方式组织 </w:t>
      </w:r>
      <w:r>
        <w:rPr/>
        <w:t>2024-2025年福建省交通运输数据资源管理服务及厅数据资源汇聚平台运维项目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CGXM-2024-350001-05611[2024]05279</w:t>
      </w:r>
    </w:p>
    <w:p>
      <w:pPr>
        <w:pStyle w:val="null3"/>
        <w:ind w:firstLine="480"/>
        <w:jc w:val="left"/>
        <w:outlineLvl w:val="2"/>
      </w:pPr>
      <w:r>
        <w:rPr>
          <w:sz w:val="28"/>
          <w:b/>
        </w:rPr>
        <w:t>2、项目编号</w:t>
      </w:r>
      <w:r>
        <w:rPr>
          <w:sz w:val="28"/>
          <w:b/>
        </w:rPr>
        <w:t>：</w:t>
      </w:r>
      <w:r>
        <w:rPr>
          <w:sz w:val="28"/>
          <w:b/>
        </w:rPr>
        <w:t>[350001]HYG[GK]2024008</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陈梦娟</w:t>
      </w:r>
    </w:p>
    <w:p>
      <w:pPr>
        <w:pStyle w:val="null3"/>
        <w:jc w:val="left"/>
      </w:pPr>
      <w:r>
        <w:rPr/>
        <w:t xml:space="preserve"> 联系电话： </w:t>
      </w:r>
      <w:r>
        <w:rPr/>
        <w:t>0591-87077284</w:t>
      </w:r>
    </w:p>
    <w:p>
      <w:pPr>
        <w:pStyle w:val="null3"/>
        <w:ind w:firstLine="480"/>
        <w:jc w:val="left"/>
        <w:outlineLvl w:val="2"/>
      </w:pPr>
      <w:r>
        <w:rPr>
          <w:sz w:val="28"/>
          <w:b/>
        </w:rPr>
        <w:t>12、代理机构</w:t>
      </w:r>
      <w:r>
        <w:rPr>
          <w:sz w:val="28"/>
          <w:b/>
        </w:rPr>
        <w:t>：</w:t>
      </w:r>
      <w:r>
        <w:rPr>
          <w:sz w:val="28"/>
          <w:b/>
        </w:rPr>
        <w:t>中宏源建设管理有限公司</w:t>
      </w:r>
    </w:p>
    <w:p>
      <w:pPr>
        <w:pStyle w:val="null3"/>
        <w:ind w:firstLine="960"/>
        <w:jc w:val="both"/>
      </w:pPr>
      <w:r>
        <w:rPr/>
        <w:t xml:space="preserve"> 地址： </w:t>
      </w:r>
      <w:r>
        <w:rPr/>
        <w:t>前横路169号盛辉物流集团总部大楼05层10-13单元</w:t>
      </w:r>
    </w:p>
    <w:p>
      <w:pPr>
        <w:pStyle w:val="null3"/>
        <w:jc w:val="both"/>
      </w:pPr>
      <w:r>
        <w:rPr/>
        <w:t xml:space="preserve"> 邮编： </w:t>
      </w:r>
      <w:r>
        <w:rPr/>
        <w:t>350000</w:t>
      </w:r>
    </w:p>
    <w:p>
      <w:pPr>
        <w:pStyle w:val="null3"/>
        <w:jc w:val="both"/>
      </w:pPr>
      <w:r>
        <w:rPr/>
        <w:t xml:space="preserve"> 联系人： </w:t>
      </w:r>
      <w:r>
        <w:rPr/>
        <w:t>林龙宇</w:t>
      </w:r>
    </w:p>
    <w:p>
      <w:pPr>
        <w:pStyle w:val="null3"/>
        <w:jc w:val="both"/>
      </w:pPr>
      <w:r>
        <w:rPr/>
        <w:t xml:space="preserve"> 联系电话： </w:t>
      </w:r>
      <w:r>
        <w:rPr/>
        <w:t>0591-87500089</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中宏源建设管理有限公司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560,000.00</w:t>
      </w:r>
    </w:p>
    <w:p>
      <w:pPr>
        <w:pStyle w:val="null3"/>
        <w:jc w:val="left"/>
      </w:pPr>
      <w:r>
        <w:rPr/>
        <w:t>采购包最高限价（元）: 560,000.00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2024-2025年福建省交通运输数据资源管理服务及厅数据资源汇聚平台运维项目</w:t>
            </w:r>
          </w:p>
        </w:tc>
        <w:tc>
          <w:tcPr>
            <w:tcW w:type="dxa" w:w="1187"/>
          </w:tcPr>
          <w:p>
            <w:pPr>
              <w:pStyle w:val="null3"/>
              <w:jc w:val="right"/>
            </w:pPr>
            <w:r>
              <w:rPr/>
              <w:t>1.00</w:t>
            </w:r>
          </w:p>
        </w:tc>
        <w:tc>
          <w:tcPr>
            <w:tcW w:type="dxa" w:w="1187"/>
          </w:tcPr>
          <w:p>
            <w:pPr>
              <w:pStyle w:val="null3"/>
              <w:jc w:val="right"/>
            </w:pPr>
            <w:r>
              <w:rPr/>
              <w:t>560,000.00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2024-2025年福建省交通运输数据资源管理服务及厅数据资源汇聚平台运维项目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560,000.00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2024-2025年福建省交通运输数据资源管理服务及厅数据资源汇聚平台运维项目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2024-2025年福建省交通运输数据资源管理服务及厅数据资源汇聚平台运维项目</w:t>
            </w:r>
          </w:p>
        </w:tc>
        <w:tc>
          <w:tcPr>
            <w:tcW w:type="dxa" w:w="2076"/>
          </w:tcPr>
          <w:p>
            <w:pPr>
              <w:pStyle w:val="null3"/>
              <w:jc w:val="left"/>
            </w:pPr>
            <w:r>
              <w:rPr/>
              <w:t>2024-2025年福建省交通运输数据资源管理服务及厅数据资源汇聚平台运维项目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560,000.00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中宏源建设管理有限公司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服务费向中标人收取，招标代理服务费(采购代理服务费)参照计价格(2002)1980号文规定收费标准进行下浮收费，即采购项目中标(成交)金额100万元以下的下浮20%，采购项目中标(成交)金额100万元(含)以上的下浮 50%，最低按 2000 元执行。招标代理服务费在中标人领取中标通知书前一次性缴清。招标代理服务费缴交银行帐号：账户名称：中宏源建设管理有限公司。开户行：中国银行股份有限公司福州市晋安支行 账号：415679730608</w:t>
            </w:r>
          </w:p>
          <w:p>
            <w:pPr>
              <w:pStyle w:val="null3"/>
              <w:jc w:val="left"/>
            </w:pPr>
            <w:r>
              <w:rPr/>
              <w:t xml:space="preserve"> (2)其他：</w:t>
            </w:r>
          </w:p>
          <w:p>
            <w:pPr>
              <w:pStyle w:val="null3"/>
              <w:jc w:val="left"/>
            </w:pPr>
            <w:r>
              <w:rP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 xml:space="preserve"> （2）将招标文件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 xml:space="preserve"> （3）将下列内容增列为招标文件的组成部分（以下简称：“增列内容”）适用本项目的电子招标投标活动，若增列内容与招标文件其他章节内容有冲突，应以增列内容为准：</w:t>
            </w:r>
          </w:p>
          <w:p>
            <w:pPr>
              <w:pStyle w:val="null3"/>
              <w:jc w:val="left"/>
            </w:pPr>
            <w:r>
              <w:rPr/>
              <w:t xml:space="preserve"> ①电子招标投标活动的具体操作流程以福建省政府采购网上公开信息系统设定的为准。</w:t>
            </w:r>
          </w:p>
          <w:p>
            <w:pPr>
              <w:pStyle w:val="null3"/>
              <w:jc w:val="left"/>
            </w:pPr>
            <w:r>
              <w:rPr/>
              <w:t xml:space="preserve"> ②关于电子投标文件：</w:t>
            </w:r>
          </w:p>
          <w:p>
            <w:pPr>
              <w:pStyle w:val="null3"/>
              <w:jc w:val="left"/>
            </w:pPr>
            <w:r>
              <w:rPr/>
              <w:t xml:space="preserve"> a.投标人应按照福建省政府采购网上公开信息系统设定的评审节点编制电子投标文件，否则资格审查小组、评标委员会将按照不利于投标人的内容进行认定。</w:t>
            </w:r>
          </w:p>
          <w:p>
            <w:pPr>
              <w:pStyle w:val="null3"/>
              <w:jc w:val="left"/>
            </w:pPr>
            <w:r>
              <w:rPr/>
              <w:t xml:space="preserve"> 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 xml:space="preserve"> ③关于证明材料或资料：</w:t>
            </w:r>
          </w:p>
          <w:p>
            <w:pPr>
              <w:pStyle w:val="null3"/>
              <w:jc w:val="left"/>
            </w:pPr>
            <w:r>
              <w:rPr/>
              <w:t xml:space="preserve"> 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 xml:space="preserve"> 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 xml:space="preserve"> ④关于“全称”、“投标人代表签字”及“加盖单位公章”：</w:t>
            </w:r>
          </w:p>
          <w:p>
            <w:pPr>
              <w:pStyle w:val="null3"/>
              <w:jc w:val="left"/>
            </w:pPr>
            <w:r>
              <w:rPr/>
              <w:t xml:space="preserve"> a.在电子投标文件中，涉及“全称”和“投标人代表签字”的内容可使用打字录入方式完成。</w:t>
            </w:r>
          </w:p>
          <w:p>
            <w:pPr>
              <w:pStyle w:val="null3"/>
              <w:jc w:val="left"/>
            </w:pPr>
            <w:r>
              <w:rPr/>
              <w:t xml:space="preserve"> b.在电子投标文件中，涉及“加盖单位公章”的内容应使用投标人的CA证书完成，否则投标无效。</w:t>
            </w:r>
          </w:p>
          <w:p>
            <w:pPr>
              <w:pStyle w:val="null3"/>
              <w:jc w:val="left"/>
            </w:pPr>
            <w:r>
              <w:rPr/>
              <w:t xml:space="preserve"> c.在电子投标文件中，若投标人按照本增列内容第④点第b项规定加盖其单位公章，则出现无全称、或投标人代表未签字等情形，不视为投标无效。</w:t>
            </w:r>
          </w:p>
          <w:p>
            <w:pPr>
              <w:pStyle w:val="null3"/>
              <w:jc w:val="left"/>
            </w:pPr>
            <w:r>
              <w:rPr/>
              <w:t xml:space="preserve"> ⑤关于投标人的CA证书：</w:t>
            </w:r>
          </w:p>
          <w:p>
            <w:pPr>
              <w:pStyle w:val="null3"/>
              <w:jc w:val="left"/>
            </w:pPr>
            <w:r>
              <w:rPr/>
              <w:t xml:space="preserve"> a.投标人的CA证书应在系统规定时间内使用CA证书进行电子投标文件的解密操作，逾期未解密的视为放弃投标。</w:t>
            </w:r>
          </w:p>
          <w:p>
            <w:pPr>
              <w:pStyle w:val="null3"/>
              <w:jc w:val="left"/>
            </w:pPr>
            <w:r>
              <w:rPr/>
              <w:t xml:space="preserve"> b.投标人的CA证书可采用信封（包括但不限于：信封、档案袋、文件袋等）作为外包装进行单独包装。外包装密封、不密封皆可。</w:t>
            </w:r>
          </w:p>
          <w:p>
            <w:pPr>
              <w:pStyle w:val="null3"/>
              <w:jc w:val="left"/>
            </w:pPr>
            <w:r>
              <w:rPr/>
              <w:t xml:space="preserve"> c.投标人的CA证书或外包装应标记“项目名称、项目编号、投标人的全称”等内容，以方便识别、使用。</w:t>
            </w:r>
          </w:p>
          <w:p>
            <w:pPr>
              <w:pStyle w:val="null3"/>
              <w:jc w:val="left"/>
            </w:pPr>
            <w:r>
              <w:rPr/>
              <w:t xml:space="preserve"> d.投标人的CA证书应能正常、有效使用，否则产生不利后果由投标人承担责任。</w:t>
            </w:r>
          </w:p>
          <w:p>
            <w:pPr>
              <w:pStyle w:val="null3"/>
              <w:jc w:val="left"/>
            </w:pPr>
            <w:r>
              <w:rPr/>
              <w:t xml:space="preserve"> ⑥关于投标截止时间过后</w:t>
            </w:r>
          </w:p>
          <w:p>
            <w:pPr>
              <w:pStyle w:val="null3"/>
              <w:jc w:val="left"/>
            </w:pPr>
            <w:r>
              <w:rPr/>
              <w:t xml:space="preserve"> a.未按招标文件规定提交投标保证金的，其投标将按无效投标处理。</w:t>
            </w:r>
          </w:p>
          <w:p>
            <w:pPr>
              <w:pStyle w:val="null3"/>
              <w:jc w:val="left"/>
            </w:pPr>
            <w:r>
              <w:rPr/>
              <w:t xml:space="preserve"> b.有下列情形之一的，其投标无效,其保证金不予退还或通过投标保函进行索赔：</w:t>
            </w:r>
          </w:p>
          <w:p>
            <w:pPr>
              <w:pStyle w:val="null3"/>
              <w:jc w:val="left"/>
            </w:pPr>
            <w:r>
              <w:rPr/>
              <w:t xml:space="preserve"> b1不同投标人的电子投标文件具有相同内部识别码；</w:t>
            </w:r>
          </w:p>
          <w:p>
            <w:pPr>
              <w:pStyle w:val="null3"/>
              <w:jc w:val="left"/>
            </w:pPr>
            <w:r>
              <w:rPr/>
              <w:t xml:space="preserve"> b2不同投标人的投标保证金从同一单位或个人的账户转出；</w:t>
            </w:r>
          </w:p>
          <w:p>
            <w:pPr>
              <w:pStyle w:val="null3"/>
              <w:jc w:val="left"/>
            </w:pPr>
            <w:r>
              <w:rPr/>
              <w:t xml:space="preserve"> b3投标人的投标保证金同一采购包下有其他投标人提交的投标保证金；</w:t>
            </w:r>
          </w:p>
          <w:p>
            <w:pPr>
              <w:pStyle w:val="null3"/>
              <w:jc w:val="left"/>
            </w:pPr>
            <w:r>
              <w:rPr/>
              <w:t xml:space="preserve"> b4不同投标人存在串通投标的其他情形。</w:t>
            </w:r>
          </w:p>
          <w:p>
            <w:pPr>
              <w:pStyle w:val="null3"/>
              <w:jc w:val="left"/>
            </w:pPr>
            <w:r>
              <w:rPr/>
              <w:t xml:space="preserve"> 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 xml:space="preserve"> 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中宏源建设管理有限公司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中宏源建设管理有限公司</w:t>
      </w:r>
      <w:r>
        <w:rPr/>
        <w:t xml:space="preserve"> 将在投标截止时间至少15个日历日前，在招标文件载明的指定媒体以更正公告的形式发布澄清或修改的内容。不足15个日历日的， </w:t>
      </w:r>
      <w:r>
        <w:rPr/>
        <w:t>中宏源建设管理有限公司</w:t>
      </w:r>
      <w:r>
        <w:rPr/>
        <w:t xml:space="preserve"> 将顺延投标截止时间及开标时间， </w:t>
      </w:r>
      <w:r>
        <w:rPr/>
        <w:t>中宏源建设管理有限公司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中宏源建设管理有限公司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中宏源建设管理有限公司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中宏源建设管理有限公司</w:t>
      </w:r>
      <w:r>
        <w:rPr/>
        <w:t xml:space="preserve"> 可终止招标并发布终止公告。</w:t>
      </w:r>
    </w:p>
    <w:p>
      <w:pPr>
        <w:pStyle w:val="null3"/>
        <w:ind w:firstLine="480"/>
        <w:jc w:val="both"/>
      </w:pPr>
      <w:r>
        <w:rPr/>
        <w:t xml:space="preserve">8.2终止公告作为 </w:t>
      </w:r>
      <w:r>
        <w:rPr/>
        <w:t>中宏源建设管理有限公司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中宏源建设管理有限公司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中宏源建设管理有限公司</w:t>
      </w:r>
      <w:r>
        <w:rPr/>
        <w:t xml:space="preserve"> 可于投标有效期届满之前书面要求投标人延长投标有效期，投标人应在 </w:t>
      </w:r>
      <w:r>
        <w:rPr/>
        <w:t>中宏源建设管理有限公司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中宏源建设管理有限公司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中宏源建设管理有限公司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中宏源建设管理有限公司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中宏源建设管理有限公司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中宏源建设管理有限公司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中宏源建设管理有限公司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中宏源建设管理有限公司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中宏源建设管理有限公司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中宏源建设管理有限公司</w:t>
      </w:r>
      <w:r>
        <w:rPr/>
        <w:t xml:space="preserve"> 提出询问， </w:t>
      </w:r>
      <w:r>
        <w:rPr/>
        <w:t>中宏源建设管理有限公司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中宏源建设管理有限公司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中宏源建设管理有限公司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由中宏源建设管理有限公司派出的工作人员至少1人，</w:t>
      </w:r>
      <w:r>
        <w:rPr/>
        <w:t>其余1人可为采购人代表或中宏源建设管理有限公司的工作人员。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r>
        <w:tc>
          <w:tcPr>
            <w:tcW w:type="dxa" w:w="4153"/>
          </w:tcPr>
          <w:p>
            <w:pPr>
              <w:pStyle w:val="null3"/>
              <w:jc w:val="left"/>
            </w:pPr>
            <w:r>
              <w:rPr/>
              <w:t>其他情形</w:t>
            </w:r>
          </w:p>
        </w:tc>
        <w:tc>
          <w:tcPr>
            <w:tcW w:type="dxa" w:w="4153"/>
          </w:tcPr>
          <w:p>
            <w:pPr>
              <w:pStyle w:val="null3"/>
              <w:jc w:val="left"/>
            </w:pPr>
            <w:r>
              <w:rPr/>
              <w:t>招标文件规定的其他投标无效情形。</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中宏源建设管理有限公司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中宏源建设管理有限公司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中宏源建设管理有限公司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中宏源建设管理有限公司</w:t>
      </w:r>
      <w:r>
        <w:rPr/>
        <w:t xml:space="preserve"> 统一对外发布。</w:t>
      </w:r>
    </w:p>
    <w:p>
      <w:pPr>
        <w:pStyle w:val="null3"/>
        <w:ind w:firstLine="480"/>
        <w:jc w:val="both"/>
      </w:pPr>
      <w:r>
        <w:rPr/>
        <w:t xml:space="preserve">②对 </w:t>
      </w:r>
      <w:r>
        <w:rPr/>
        <w:t>中宏源建设管理有限公司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不满足招标文件第五章招标内容及要求 二、技术和服务要求中技术部分带★号的条款或注明投标无效的条款的视为投标无效。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 招标内容及要求”中“三、商务条件”要求的视为投标无效。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1.技术响应情况</w:t>
            </w:r>
          </w:p>
        </w:tc>
        <w:tc>
          <w:tcPr>
            <w:tcW w:type="dxa" w:w="831"/>
          </w:tcPr>
          <w:p>
            <w:pPr>
              <w:pStyle w:val="null3"/>
              <w:jc w:val="right"/>
            </w:pPr>
            <w:r>
              <w:rPr/>
              <w:t>39.0000</w:t>
            </w:r>
          </w:p>
        </w:tc>
        <w:tc>
          <w:tcPr>
            <w:tcW w:type="dxa" w:w="4153"/>
          </w:tcPr>
          <w:p>
            <w:pPr>
              <w:pStyle w:val="null3"/>
              <w:jc w:val="both"/>
            </w:pPr>
            <w:r>
              <w:rPr/>
              <w:t>根据各投标人对招标文件“技术和服务要求”中各项技术参数的逐项响应情况由评委进行评分。完全满足要求的得满分39分；带“★”号的内容（含下级编号）为实质性条款，有负偏离的按无效投标处理；未带“★”号内容的技术要求（共15项，指标项1-15）每负偏离一项扣2.6分，扣完为止。正偏离不加分。 注：1、招标文件中技术参数若有要求供应商提供相应佐证材料的，若未提供或响应承诺与其佐证材料不一致的，评审小组将以不利于投标人的内容为准进行评审。 2、每个项号中凡标有最低一级数字序号的指标项出现负偏离的，无论负偏离几项，均按照一项负偏离对应分值进行扣分。</w:t>
            </w:r>
          </w:p>
        </w:tc>
      </w:tr>
      <w:tr>
        <w:tc>
          <w:tcPr>
            <w:tcW w:type="dxa" w:w="3322"/>
          </w:tcPr>
          <w:p>
            <w:pPr>
              <w:pStyle w:val="null3"/>
              <w:jc w:val="both"/>
            </w:pPr>
            <w:r>
              <w:rPr/>
              <w:t>2.福建省交通运输数据资源汇聚工程（一期）建设现状</w:t>
            </w:r>
          </w:p>
        </w:tc>
        <w:tc>
          <w:tcPr>
            <w:tcW w:type="dxa" w:w="831"/>
          </w:tcPr>
          <w:p>
            <w:pPr>
              <w:pStyle w:val="null3"/>
              <w:jc w:val="right"/>
            </w:pPr>
            <w:r>
              <w:rPr/>
              <w:t>3.0000</w:t>
            </w:r>
          </w:p>
        </w:tc>
        <w:tc>
          <w:tcPr>
            <w:tcW w:type="dxa" w:w="4153"/>
          </w:tcPr>
          <w:p>
            <w:pPr>
              <w:pStyle w:val="null3"/>
              <w:jc w:val="both"/>
            </w:pPr>
            <w:r>
              <w:rPr/>
              <w:t>根据投标人提供的福建省交通运输数据资源汇聚工程（一期）建设现状（包括平台页面构建、平台结构设计安排、各项功能设置等情况）由评委进行评分：方案详细说明整体构架合理、结构清晰、逻辑性强的得3分；方案较详细说明整体构架较合理、结构较清晰、逻辑性较强的得2.9分；方案说明整体构架不够合理、结构不够清晰、逻辑性不强的得2.7分；方案说明整体构架不合理、结构严重不清晰、逻辑性差或未提供的不得分。</w:t>
            </w:r>
          </w:p>
        </w:tc>
      </w:tr>
      <w:tr>
        <w:tc>
          <w:tcPr>
            <w:tcW w:type="dxa" w:w="3322"/>
          </w:tcPr>
          <w:p>
            <w:pPr>
              <w:pStyle w:val="null3"/>
              <w:jc w:val="both"/>
            </w:pPr>
            <w:r>
              <w:rPr/>
              <w:t>3.运维服务方式</w:t>
            </w:r>
          </w:p>
        </w:tc>
        <w:tc>
          <w:tcPr>
            <w:tcW w:type="dxa" w:w="831"/>
          </w:tcPr>
          <w:p>
            <w:pPr>
              <w:pStyle w:val="null3"/>
              <w:jc w:val="right"/>
            </w:pPr>
            <w:r>
              <w:rPr/>
              <w:t>3.0000</w:t>
            </w:r>
          </w:p>
        </w:tc>
        <w:tc>
          <w:tcPr>
            <w:tcW w:type="dxa" w:w="4153"/>
          </w:tcPr>
          <w:p>
            <w:pPr>
              <w:pStyle w:val="null3"/>
              <w:jc w:val="both"/>
            </w:pPr>
            <w:r>
              <w:rPr/>
              <w:t>根据投标人对运维服务方式（包括电话咨询、远程服务、现场服务、技术会商服务等）由评委进行评分：内容详细可行，具有针对性的得3分；较为详细可行的得2.9分；内容不够详细，可行性一般的得2.7分；有重大偏离或不满足招标文件要求或未提供的的不得分。</w:t>
            </w:r>
          </w:p>
        </w:tc>
      </w:tr>
      <w:tr>
        <w:tc>
          <w:tcPr>
            <w:tcW w:type="dxa" w:w="3322"/>
          </w:tcPr>
          <w:p>
            <w:pPr>
              <w:pStyle w:val="null3"/>
              <w:jc w:val="both"/>
            </w:pPr>
            <w:r>
              <w:rPr/>
              <w:t>4.服务整体方案</w:t>
            </w:r>
          </w:p>
        </w:tc>
        <w:tc>
          <w:tcPr>
            <w:tcW w:type="dxa" w:w="831"/>
          </w:tcPr>
          <w:p>
            <w:pPr>
              <w:pStyle w:val="null3"/>
              <w:jc w:val="right"/>
            </w:pPr>
            <w:r>
              <w:rPr/>
              <w:t>3.0000</w:t>
            </w:r>
          </w:p>
        </w:tc>
        <w:tc>
          <w:tcPr>
            <w:tcW w:type="dxa" w:w="4153"/>
          </w:tcPr>
          <w:p>
            <w:pPr>
              <w:pStyle w:val="null3"/>
              <w:jc w:val="both"/>
            </w:pPr>
            <w:r>
              <w:rPr/>
              <w:t>根据投标人所提供的整体方案（包括但不限于项目组织管理、进度管理、项目沟通协调安排、技术手段、质量保障及风险预防措施等）由评委进行评分：整体方案详细说明整体构架合理、结构清晰、逻辑性强的得3分；整体方案较详细说明整体构架较合理、结构较清晰、逻辑性较强的得2.9分；整体方案说明整体构架不够合理、结构不够清晰、逻辑性不强的得2.7分；整体方案说明整体构架不合理、结构严重不清晰、逻辑性差或未提供的不得分。</w:t>
            </w:r>
          </w:p>
        </w:tc>
      </w:tr>
      <w:tr>
        <w:tc>
          <w:tcPr>
            <w:tcW w:type="dxa" w:w="3322"/>
          </w:tcPr>
          <w:p>
            <w:pPr>
              <w:pStyle w:val="null3"/>
              <w:jc w:val="both"/>
            </w:pPr>
            <w:r>
              <w:rPr/>
              <w:t>5.安全保障方案</w:t>
            </w:r>
          </w:p>
        </w:tc>
        <w:tc>
          <w:tcPr>
            <w:tcW w:type="dxa" w:w="831"/>
          </w:tcPr>
          <w:p>
            <w:pPr>
              <w:pStyle w:val="null3"/>
              <w:jc w:val="right"/>
            </w:pPr>
            <w:r>
              <w:rPr/>
              <w:t>3.0000</w:t>
            </w:r>
          </w:p>
        </w:tc>
        <w:tc>
          <w:tcPr>
            <w:tcW w:type="dxa" w:w="4153"/>
          </w:tcPr>
          <w:p>
            <w:pPr>
              <w:pStyle w:val="null3"/>
              <w:jc w:val="both"/>
            </w:pPr>
            <w:r>
              <w:rPr/>
              <w:t>根据投标人提供的对系统安全服务、安全补丁等安全保障方案情况由评委进行评分：安全保障方案完整、科学，安排合理、措施得力的得3分；安全保障方案较完整、较科学，安排较合理、措施较得力的得2.9分；安全保障方案完整性一般、科学性一般，安排合理性一般、措施一般的得2.7分；安全保障方案不完整、不科学、安排不合理、措施不得力的不得分或未提供的不得分。</w:t>
            </w:r>
          </w:p>
        </w:tc>
      </w:tr>
      <w:tr>
        <w:tc>
          <w:tcPr>
            <w:tcW w:type="dxa" w:w="3322"/>
          </w:tcPr>
          <w:p>
            <w:pPr>
              <w:pStyle w:val="null3"/>
              <w:jc w:val="both"/>
            </w:pPr>
            <w:r>
              <w:rPr/>
              <w:t>6.系统功能运维方案1</w:t>
            </w:r>
          </w:p>
        </w:tc>
        <w:tc>
          <w:tcPr>
            <w:tcW w:type="dxa" w:w="831"/>
          </w:tcPr>
          <w:p>
            <w:pPr>
              <w:pStyle w:val="null3"/>
              <w:jc w:val="right"/>
            </w:pPr>
            <w:r>
              <w:rPr/>
              <w:t>3.0000</w:t>
            </w:r>
          </w:p>
        </w:tc>
        <w:tc>
          <w:tcPr>
            <w:tcW w:type="dxa" w:w="4153"/>
          </w:tcPr>
          <w:p>
            <w:pPr>
              <w:pStyle w:val="null3"/>
              <w:jc w:val="both"/>
            </w:pPr>
            <w:r>
              <w:rPr/>
              <w:t>根据投标人对数据开放工作进行描述，包括开放目录梳理和开放目录配置。应答内容详细可行，具有针对性的得3分；较为详细可行的得2.9分；不够详细，可行性一般的得2.7分；未应答或有重大偏离或不满足招标文件要求的不得分。</w:t>
            </w:r>
          </w:p>
        </w:tc>
      </w:tr>
      <w:tr>
        <w:tc>
          <w:tcPr>
            <w:tcW w:type="dxa" w:w="3322"/>
          </w:tcPr>
          <w:p>
            <w:pPr>
              <w:pStyle w:val="null3"/>
              <w:jc w:val="both"/>
            </w:pPr>
            <w:r>
              <w:rPr/>
              <w:t>7.系统功能运维方案2</w:t>
            </w:r>
          </w:p>
        </w:tc>
        <w:tc>
          <w:tcPr>
            <w:tcW w:type="dxa" w:w="831"/>
          </w:tcPr>
          <w:p>
            <w:pPr>
              <w:pStyle w:val="null3"/>
              <w:jc w:val="right"/>
            </w:pPr>
            <w:r>
              <w:rPr/>
              <w:t>3.0000</w:t>
            </w:r>
          </w:p>
        </w:tc>
        <w:tc>
          <w:tcPr>
            <w:tcW w:type="dxa" w:w="4153"/>
          </w:tcPr>
          <w:p>
            <w:pPr>
              <w:pStyle w:val="null3"/>
              <w:jc w:val="both"/>
            </w:pPr>
            <w:r>
              <w:rPr/>
              <w:t>根据投标人对信息资源目录编制工作进行描述。应答内容详细可行，具有针对性的得3分；较为详细可行的得2.9分；不够详细，可行性一般的得2.7分；未应答或有重大偏离或不满足招标文件要求的不得分。</w:t>
            </w:r>
          </w:p>
        </w:tc>
      </w:tr>
      <w:tr>
        <w:tc>
          <w:tcPr>
            <w:tcW w:type="dxa" w:w="3322"/>
          </w:tcPr>
          <w:p>
            <w:pPr>
              <w:pStyle w:val="null3"/>
              <w:jc w:val="both"/>
            </w:pPr>
            <w:r>
              <w:rPr/>
              <w:t>8.系统功能运维方案3</w:t>
            </w:r>
          </w:p>
        </w:tc>
        <w:tc>
          <w:tcPr>
            <w:tcW w:type="dxa" w:w="831"/>
          </w:tcPr>
          <w:p>
            <w:pPr>
              <w:pStyle w:val="null3"/>
              <w:jc w:val="right"/>
            </w:pPr>
            <w:r>
              <w:rPr/>
              <w:t>3.0000</w:t>
            </w:r>
          </w:p>
        </w:tc>
        <w:tc>
          <w:tcPr>
            <w:tcW w:type="dxa" w:w="4153"/>
          </w:tcPr>
          <w:p>
            <w:pPr>
              <w:pStyle w:val="null3"/>
              <w:jc w:val="both"/>
            </w:pPr>
            <w:r>
              <w:rPr/>
              <w:t>根据投标人对数据上报工作进行描述，包括数据文件要求、采集指标信息、控制文件。应答内容详细可行，具有针对性的得3分；较为详细可行的得2.9分；不够详细，可行性一般的得2.7分；未应答或有重大偏离或不满足招标文件要求的不得分。</w:t>
            </w:r>
          </w:p>
        </w:tc>
      </w:tr>
      <w:tr>
        <w:tc>
          <w:tcPr>
            <w:tcW w:type="dxa" w:w="3322"/>
          </w:tcPr>
          <w:p>
            <w:pPr>
              <w:pStyle w:val="null3"/>
              <w:jc w:val="both"/>
            </w:pPr>
            <w:r>
              <w:rPr/>
              <w:t>9.数据库日常运维方案</w:t>
            </w:r>
          </w:p>
        </w:tc>
        <w:tc>
          <w:tcPr>
            <w:tcW w:type="dxa" w:w="831"/>
          </w:tcPr>
          <w:p>
            <w:pPr>
              <w:pStyle w:val="null3"/>
              <w:jc w:val="right"/>
            </w:pPr>
            <w:r>
              <w:rPr/>
              <w:t>3.0000</w:t>
            </w:r>
          </w:p>
        </w:tc>
        <w:tc>
          <w:tcPr>
            <w:tcW w:type="dxa" w:w="4153"/>
          </w:tcPr>
          <w:p>
            <w:pPr>
              <w:pStyle w:val="null3"/>
              <w:jc w:val="both"/>
            </w:pPr>
            <w:r>
              <w:rPr/>
              <w:t>根据投标人提供对数据库进行数据库安全、性能、备份、恢复等日常维护方案由评委进行评分：数据库日常运维方案完整、科学，安排合理、措施得力的得3分；数据库日常运维方案较完整、较科学，安排较合理、措施较得力的得2.9分；数据库日常运维方案完整性一般、科学性一般，安排合理性一般、措施一般的得2.7分；数据库日常运维方案不完整、不科学、安排不合理、措施不得力的不得分或未提供的不得分。</w:t>
            </w:r>
          </w:p>
        </w:tc>
      </w:tr>
      <w:tr>
        <w:tc>
          <w:tcPr>
            <w:tcW w:type="dxa" w:w="3322"/>
          </w:tcPr>
          <w:p>
            <w:pPr>
              <w:pStyle w:val="null3"/>
              <w:jc w:val="both"/>
            </w:pPr>
            <w:r>
              <w:rPr/>
              <w:t>10.日常巡检工作的管理及保障方案</w:t>
            </w:r>
          </w:p>
        </w:tc>
        <w:tc>
          <w:tcPr>
            <w:tcW w:type="dxa" w:w="831"/>
          </w:tcPr>
          <w:p>
            <w:pPr>
              <w:pStyle w:val="null3"/>
              <w:jc w:val="right"/>
            </w:pPr>
            <w:r>
              <w:rPr/>
              <w:t>3.0000</w:t>
            </w:r>
          </w:p>
        </w:tc>
        <w:tc>
          <w:tcPr>
            <w:tcW w:type="dxa" w:w="4153"/>
          </w:tcPr>
          <w:p>
            <w:pPr>
              <w:pStyle w:val="null3"/>
              <w:jc w:val="both"/>
            </w:pPr>
            <w:r>
              <w:rPr/>
              <w:t>根据投标人提供对日常巡检工作的管理及保障方案由评委进行评分：日常巡检工作的管理及保障方案完整、科学，安排合理、措施得力的得3分；日常巡检工作的管理及保障方案较完整、较科学，安排较合理、措施较得力的得2.9分；日常巡检工作的管理及保障方案完整性一般、科学性一般，安排合理性一般、措施一般的得2.7分；日常巡检工作的管理及保障方案不完整、不科学、安排不合理、措施不得力的不得分或未提供的不得分。</w:t>
            </w:r>
          </w:p>
        </w:tc>
      </w:tr>
      <w:tr>
        <w:tc>
          <w:tcPr>
            <w:tcW w:type="dxa" w:w="3322"/>
          </w:tcPr>
          <w:p>
            <w:pPr>
              <w:pStyle w:val="null3"/>
              <w:jc w:val="both"/>
            </w:pPr>
            <w:r>
              <w:rPr/>
              <w:t>11.应急响应方案</w:t>
            </w:r>
          </w:p>
        </w:tc>
        <w:tc>
          <w:tcPr>
            <w:tcW w:type="dxa" w:w="831"/>
          </w:tcPr>
          <w:p>
            <w:pPr>
              <w:pStyle w:val="null3"/>
              <w:jc w:val="right"/>
            </w:pPr>
            <w:r>
              <w:rPr/>
              <w:t>3.0000</w:t>
            </w:r>
          </w:p>
        </w:tc>
        <w:tc>
          <w:tcPr>
            <w:tcW w:type="dxa" w:w="4153"/>
          </w:tcPr>
          <w:p>
            <w:pPr>
              <w:pStyle w:val="null3"/>
              <w:jc w:val="both"/>
            </w:pPr>
            <w:r>
              <w:rPr/>
              <w:t>根据投标人提供的运维应急响应方案进行评分：分析内容详细可行，具有针对性的得3分；阐述简短或可针对性不强的得2.7分；方案不合理或未提供的不得分。</w:t>
            </w:r>
          </w:p>
        </w:tc>
      </w:tr>
    </w:tbl>
    <w:p>
      <w:pPr>
        <w:pStyle w:val="null3"/>
        <w:jc w:val="both"/>
      </w:pPr>
      <w:r>
        <w:rPr/>
        <w:t>商务项（F3×A3）满分为21.0000分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1.计算机软件著作权登记证书</w:t>
            </w:r>
          </w:p>
        </w:tc>
        <w:tc>
          <w:tcPr>
            <w:tcW w:type="dxa" w:w="831"/>
          </w:tcPr>
          <w:p>
            <w:pPr>
              <w:pStyle w:val="null3"/>
              <w:jc w:val="right"/>
            </w:pPr>
            <w:r>
              <w:rPr/>
              <w:t>3.0000</w:t>
            </w:r>
          </w:p>
        </w:tc>
        <w:tc>
          <w:tcPr>
            <w:tcW w:type="dxa" w:w="4153"/>
          </w:tcPr>
          <w:p>
            <w:pPr>
              <w:pStyle w:val="null3"/>
              <w:jc w:val="both"/>
            </w:pPr>
            <w:r>
              <w:rPr/>
              <w:t>投标人提供自2021年1月1日至本次投标截止时间自有的信息化建设、运维服务等相关的计算机软件著作权登记证书，每提供一份得1分，满分3分。 (投标人需提供计算机软件著作权登记证书，复印件须加盖投标人公章。)</w:t>
            </w:r>
          </w:p>
        </w:tc>
      </w:tr>
      <w:tr>
        <w:tc>
          <w:tcPr>
            <w:tcW w:type="dxa" w:w="3322"/>
          </w:tcPr>
          <w:p>
            <w:pPr>
              <w:pStyle w:val="null3"/>
              <w:jc w:val="both"/>
            </w:pPr>
            <w:r>
              <w:rPr/>
              <w:t>2.业绩</w:t>
            </w:r>
          </w:p>
        </w:tc>
        <w:tc>
          <w:tcPr>
            <w:tcW w:type="dxa" w:w="831"/>
          </w:tcPr>
          <w:p>
            <w:pPr>
              <w:pStyle w:val="null3"/>
              <w:jc w:val="right"/>
            </w:pPr>
            <w:r>
              <w:rPr/>
              <w:t>3.0000</w:t>
            </w:r>
          </w:p>
        </w:tc>
        <w:tc>
          <w:tcPr>
            <w:tcW w:type="dxa" w:w="4153"/>
          </w:tcPr>
          <w:p>
            <w:pPr>
              <w:pStyle w:val="null3"/>
              <w:jc w:val="both"/>
            </w:pPr>
            <w:r>
              <w:rPr/>
              <w:t>投标人提供自2021年1月1日至本次投标截止时间（日期以验收报告为准）止，投标人所完成的信息化运维服务等同类相关的业绩情况，每提供1份单项合同业绩的得1分，满分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业绩、履约情况提供同一项目的不重复得分)</w:t>
            </w:r>
          </w:p>
        </w:tc>
      </w:tr>
      <w:tr>
        <w:tc>
          <w:tcPr>
            <w:tcW w:type="dxa" w:w="3322"/>
          </w:tcPr>
          <w:p>
            <w:pPr>
              <w:pStyle w:val="null3"/>
              <w:jc w:val="both"/>
            </w:pPr>
            <w:r>
              <w:rPr/>
              <w:t>3.履约情况</w:t>
            </w:r>
          </w:p>
        </w:tc>
        <w:tc>
          <w:tcPr>
            <w:tcW w:type="dxa" w:w="831"/>
          </w:tcPr>
          <w:p>
            <w:pPr>
              <w:pStyle w:val="null3"/>
              <w:jc w:val="right"/>
            </w:pPr>
            <w:r>
              <w:rPr/>
              <w:t>3.0000</w:t>
            </w:r>
          </w:p>
        </w:tc>
        <w:tc>
          <w:tcPr>
            <w:tcW w:type="dxa" w:w="4153"/>
          </w:tcPr>
          <w:p>
            <w:pPr>
              <w:pStyle w:val="null3"/>
              <w:jc w:val="both"/>
            </w:pPr>
            <w:r>
              <w:rPr/>
              <w:t>投标人提供自2021年1月1日起至投标截止时间止（以评价日期为准），由业主单位对投标人自身完成的的信息化运维服务相关的项目履约情况评价，每提供一份评为优秀（90分-100分或评价为满意或好同类意思)的得1分，满分3分。（供应商需提供由业主单位出具的履约情况评价证明材料和项目合同复印件，未提供齐全的不得分。商务评分项业绩、履约情况提供同一项目的不重复得分。）</w:t>
            </w:r>
          </w:p>
        </w:tc>
      </w:tr>
      <w:tr>
        <w:tc>
          <w:tcPr>
            <w:tcW w:type="dxa" w:w="3322"/>
          </w:tcPr>
          <w:p>
            <w:pPr>
              <w:pStyle w:val="null3"/>
              <w:jc w:val="both"/>
            </w:pPr>
            <w:r>
              <w:rPr/>
              <w:t>4.项目组组长</w:t>
            </w:r>
          </w:p>
        </w:tc>
        <w:tc>
          <w:tcPr>
            <w:tcW w:type="dxa" w:w="831"/>
          </w:tcPr>
          <w:p>
            <w:pPr>
              <w:pStyle w:val="null3"/>
              <w:jc w:val="right"/>
            </w:pPr>
            <w:r>
              <w:rPr/>
              <w:t>3.0000</w:t>
            </w:r>
          </w:p>
        </w:tc>
        <w:tc>
          <w:tcPr>
            <w:tcW w:type="dxa" w:w="4153"/>
          </w:tcPr>
          <w:p>
            <w:pPr>
              <w:pStyle w:val="null3"/>
              <w:jc w:val="both"/>
            </w:pPr>
            <w:r>
              <w:rPr/>
              <w:t>投标人提供的项目人员名单中，项目组组长具备国家行政主管部门颁发的计算机或电子工程相关专业高级证书的得3分，具有国家行政主管部门颁发的计算机或电子工程相关专业中级工程师资格证书的人员得2分，具有国家行政主管部门颁发的计算机或电子工程相关专业初级证书得1分，未提供的不得分。（项目组组长须为投标人本单位人员，投标人须提供人员证书，复印件加盖投标人公章，原件备查及该人员投标截止日前（不含投标截止日当月）近六个月内任一个月的社保证明材料并加盖投标人公章。）</w:t>
            </w:r>
          </w:p>
        </w:tc>
      </w:tr>
      <w:tr>
        <w:tc>
          <w:tcPr>
            <w:tcW w:type="dxa" w:w="3322"/>
          </w:tcPr>
          <w:p>
            <w:pPr>
              <w:pStyle w:val="null3"/>
              <w:jc w:val="both"/>
            </w:pPr>
            <w:r>
              <w:rPr/>
              <w:t>5.项目组人员1</w:t>
            </w:r>
          </w:p>
        </w:tc>
        <w:tc>
          <w:tcPr>
            <w:tcW w:type="dxa" w:w="831"/>
          </w:tcPr>
          <w:p>
            <w:pPr>
              <w:pStyle w:val="null3"/>
              <w:jc w:val="right"/>
            </w:pPr>
            <w:r>
              <w:rPr/>
              <w:t>3.0000</w:t>
            </w:r>
          </w:p>
        </w:tc>
        <w:tc>
          <w:tcPr>
            <w:tcW w:type="dxa" w:w="4153"/>
          </w:tcPr>
          <w:p>
            <w:pPr>
              <w:pStyle w:val="null3"/>
              <w:jc w:val="both"/>
            </w:pPr>
            <w:r>
              <w:rPr/>
              <w:t>投标人提供的项目组成员（不含项目组组长）中具有国家行政主管部门颁发的计算机或电子工程相关专业中级工程师及以上资格证书的人员,每提供1名得1.5分，最高3分，未提供的不得分。（项目组人员须为本单位人员，投标人须提供人员证书，复印件加盖投标人公章，原件备查及该人员投标截止之日前（不含投标截止日当月）近六个月内任一个月的社保证明材料并加盖投标人公章。）</w:t>
            </w:r>
          </w:p>
        </w:tc>
      </w:tr>
      <w:tr>
        <w:tc>
          <w:tcPr>
            <w:tcW w:type="dxa" w:w="3322"/>
          </w:tcPr>
          <w:p>
            <w:pPr>
              <w:pStyle w:val="null3"/>
              <w:jc w:val="both"/>
            </w:pPr>
            <w:r>
              <w:rPr/>
              <w:t>6.项目组人员2</w:t>
            </w:r>
          </w:p>
        </w:tc>
        <w:tc>
          <w:tcPr>
            <w:tcW w:type="dxa" w:w="831"/>
          </w:tcPr>
          <w:p>
            <w:pPr>
              <w:pStyle w:val="null3"/>
              <w:jc w:val="right"/>
            </w:pPr>
            <w:r>
              <w:rPr/>
              <w:t>3.0000</w:t>
            </w:r>
          </w:p>
        </w:tc>
        <w:tc>
          <w:tcPr>
            <w:tcW w:type="dxa" w:w="4153"/>
          </w:tcPr>
          <w:p>
            <w:pPr>
              <w:pStyle w:val="null3"/>
              <w:jc w:val="both"/>
            </w:pPr>
            <w:r>
              <w:rPr/>
              <w:t>投标人提供的项目组其他主要人员（不含项目组组长）中具有注册信息安全专业人员（CISP）证书或信息安全保障人员工程师CISAW（认证方向：安全集成专业级或以上）证书或网络安全能力认证（CCSC）证书或交通运输网络安全专业人员（TCSP）证书的，每提供一名专业人员得1分，满分3分。（投标人须提供相关证书复印件及该人员投标截止之日前（不含投标截止日当月）并提供近六个月内任一个月的社保证明材料并加盖投标人公章，同一人员具有多本证书的只记1分，未提供齐全不得分。）</w:t>
            </w:r>
          </w:p>
        </w:tc>
      </w:tr>
      <w:tr>
        <w:tc>
          <w:tcPr>
            <w:tcW w:type="dxa" w:w="3322"/>
          </w:tcPr>
          <w:p>
            <w:pPr>
              <w:pStyle w:val="null3"/>
              <w:jc w:val="both"/>
            </w:pPr>
            <w:r>
              <w:rPr/>
              <w:t>7.项目组人员3</w:t>
            </w:r>
          </w:p>
        </w:tc>
        <w:tc>
          <w:tcPr>
            <w:tcW w:type="dxa" w:w="831"/>
          </w:tcPr>
          <w:p>
            <w:pPr>
              <w:pStyle w:val="null3"/>
              <w:jc w:val="right"/>
            </w:pPr>
            <w:r>
              <w:rPr/>
              <w:t>3.0000</w:t>
            </w:r>
          </w:p>
        </w:tc>
        <w:tc>
          <w:tcPr>
            <w:tcW w:type="dxa" w:w="4153"/>
          </w:tcPr>
          <w:p>
            <w:pPr>
              <w:pStyle w:val="null3"/>
              <w:jc w:val="both"/>
            </w:pPr>
            <w:r>
              <w:rPr/>
              <w:t>投标人承诺在原有要求驻点2人的基础上，每多提供1名得1.5分，满分3分。需要提供承诺函，并加盖公章。项目组人员须为本单位人员，投标人须提供该人员投标截止之日前近六个月内任一个月（不含投标截止日当月）的社保证明材料并加盖投标人公章。未提供齐全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为进一步加强省直单位电子政务绩效考核工作，保证厅汇聚平台的稳定运行，开展本次服务工作，做好数据汇聚、数据上报、数据汇聚问题跟踪服务及政务目录和开放目录梳理等服务要点，需要对全省交通运输数据资源进行管理，对厅数据资源汇聚平台运维巡检，保障厅数据资源汇聚平台稳定运行，促进形成更加标准、更加规范数据汇聚与共享的工作机制。</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b/>
        </w:rPr>
        <w:t>1、服务内容</w:t>
      </w:r>
    </w:p>
    <w:p>
      <w:pPr>
        <w:pStyle w:val="null3"/>
        <w:ind w:firstLine="480"/>
        <w:jc w:val="both"/>
      </w:pPr>
      <w:r>
        <w:rPr>
          <w:rFonts w:ascii="宋体" w:hAnsi="宋体" w:cs="宋体" w:eastAsia="宋体"/>
          <w:sz w:val="24"/>
          <w:b/>
        </w:rPr>
        <w:t>（指标</w:t>
      </w:r>
      <w:r>
        <w:rPr>
          <w:rFonts w:ascii="宋体" w:hAnsi="宋体" w:cs="宋体" w:eastAsia="宋体"/>
          <w:sz w:val="24"/>
          <w:b/>
        </w:rPr>
        <w:t>1）</w:t>
      </w:r>
      <w:r>
        <w:rPr>
          <w:rFonts w:ascii="宋体" w:hAnsi="宋体" w:cs="宋体" w:eastAsia="宋体"/>
          <w:sz w:val="24"/>
        </w:rPr>
        <w:t>1.1信息资源目录编制服务</w:t>
      </w:r>
    </w:p>
    <w:p>
      <w:pPr>
        <w:pStyle w:val="null3"/>
        <w:ind w:firstLine="480"/>
        <w:jc w:val="both"/>
      </w:pPr>
      <w:r>
        <w:rPr>
          <w:rFonts w:ascii="宋体" w:hAnsi="宋体" w:cs="宋体" w:eastAsia="宋体"/>
          <w:sz w:val="24"/>
        </w:rPr>
        <w:t>1.1.1信息资源目录编制主要是对各部门政务信息资源进行分类，对信息资源目录编制进行审核，引导各部门整理信息资源目录。根据初步确认的信息资源目录，进行检查、核实相关目录信息，确保内容的完整性、逻辑的一致性、命名的准确性、描述的可理解性以及合规性。发现漏编、错编的情况，提出补充、修改或通过的意见并反馈到各部门，直至形成信息资源目录终稿电子版。</w:t>
      </w:r>
    </w:p>
    <w:p>
      <w:pPr>
        <w:pStyle w:val="null3"/>
        <w:ind w:firstLine="480"/>
        <w:jc w:val="both"/>
      </w:pPr>
      <w:r>
        <w:rPr>
          <w:rFonts w:ascii="宋体" w:hAnsi="宋体" w:cs="宋体" w:eastAsia="宋体"/>
          <w:sz w:val="24"/>
        </w:rPr>
        <w:t>1.1.2线下目录审核主要内容如下：让各部门填报可提供数据的信息名称和指标项，区分行业、业务、主题和管理对象分类，并提供各项信息公开属性、共享属性、所属业务系统名称、采集方式、采集周期、采集频率和数据增量还是全量更新等。</w:t>
      </w:r>
    </w:p>
    <w:p>
      <w:pPr>
        <w:pStyle w:val="null3"/>
        <w:ind w:firstLine="480"/>
        <w:jc w:val="both"/>
      </w:pPr>
      <w:r>
        <w:rPr>
          <w:rFonts w:ascii="宋体" w:hAnsi="宋体" w:cs="宋体" w:eastAsia="宋体"/>
          <w:sz w:val="24"/>
        </w:rPr>
        <w:t>1.1.3终稿线下目录审核通过之后，按照技术标准，依托厅数据资源汇聚工程平台进行著录、发布。原则上，目录发布完成之后，保证本部门信息资源目录及时更新，需定期跟踪，协同各部门完成目录更新工作。</w:t>
      </w:r>
    </w:p>
    <w:p>
      <w:pPr>
        <w:pStyle w:val="null3"/>
        <w:ind w:firstLine="480"/>
        <w:jc w:val="both"/>
      </w:pPr>
      <w:r>
        <w:rPr>
          <w:rFonts w:ascii="宋体" w:hAnsi="宋体" w:cs="宋体" w:eastAsia="宋体"/>
          <w:sz w:val="24"/>
        </w:rPr>
        <w:t>1.1.4</w:t>
      </w:r>
      <w:r>
        <w:rPr/>
        <w:t xml:space="preserve"> </w:t>
      </w:r>
      <w:r>
        <w:rPr>
          <w:rFonts w:ascii="宋体" w:hAnsi="宋体" w:cs="宋体" w:eastAsia="宋体"/>
          <w:sz w:val="24"/>
        </w:rPr>
        <w:t>2024年重点开展目录一体化治理工作，在完成标准化数据资源目录全部要素外，还包括：数据资源类型、数据资源格式、数据加工程度、数据区域范围、数据时间范围、更新情况、更新周期、数据资源提供方、来源系统名称及开放共享信息等内容。</w:t>
      </w:r>
    </w:p>
    <w:p>
      <w:pPr>
        <w:pStyle w:val="null3"/>
        <w:ind w:firstLine="480"/>
        <w:jc w:val="both"/>
      </w:pPr>
      <w:r>
        <w:rPr>
          <w:rFonts w:ascii="宋体" w:hAnsi="宋体" w:cs="宋体" w:eastAsia="宋体"/>
          <w:sz w:val="24"/>
        </w:rPr>
        <w:t>1.2数据汇聚服务</w:t>
      </w:r>
    </w:p>
    <w:p>
      <w:pPr>
        <w:pStyle w:val="null3"/>
        <w:ind w:firstLine="480"/>
        <w:jc w:val="both"/>
      </w:pPr>
      <w:r>
        <w:rPr>
          <w:rFonts w:ascii="宋体" w:hAnsi="宋体" w:cs="宋体" w:eastAsia="宋体"/>
          <w:sz w:val="24"/>
          <w:b/>
        </w:rPr>
        <w:t>（指标</w:t>
      </w:r>
      <w:r>
        <w:rPr>
          <w:rFonts w:ascii="宋体" w:hAnsi="宋体" w:cs="宋体" w:eastAsia="宋体"/>
          <w:sz w:val="24"/>
          <w:b/>
        </w:rPr>
        <w:t>2）</w:t>
      </w:r>
      <w:r>
        <w:rPr>
          <w:rFonts w:ascii="宋体" w:hAnsi="宋体" w:cs="宋体" w:eastAsia="宋体"/>
          <w:sz w:val="24"/>
        </w:rPr>
        <w:t>1.2.1数据采集</w:t>
      </w:r>
    </w:p>
    <w:p>
      <w:pPr>
        <w:pStyle w:val="null3"/>
        <w:ind w:firstLine="480"/>
        <w:jc w:val="both"/>
      </w:pPr>
      <w:r>
        <w:rPr>
          <w:rFonts w:ascii="宋体" w:hAnsi="宋体" w:cs="宋体" w:eastAsia="宋体"/>
          <w:sz w:val="24"/>
        </w:rPr>
        <w:t>（</w:t>
      </w:r>
      <w:r>
        <w:rPr>
          <w:rFonts w:ascii="宋体" w:hAnsi="宋体" w:cs="宋体" w:eastAsia="宋体"/>
          <w:sz w:val="24"/>
        </w:rPr>
        <w:t>1）做好与各业务系统的对接数据的联调工作，为向部级交通运输数据资源交换共享平台、省公共数据汇聚共享平台上传数据做准备。</w:t>
      </w:r>
    </w:p>
    <w:p>
      <w:pPr>
        <w:pStyle w:val="null3"/>
        <w:ind w:firstLine="480"/>
        <w:jc w:val="both"/>
      </w:pPr>
      <w:r>
        <w:rPr>
          <w:rFonts w:ascii="宋体" w:hAnsi="宋体" w:cs="宋体" w:eastAsia="宋体"/>
          <w:sz w:val="24"/>
        </w:rPr>
        <w:t>（</w:t>
      </w:r>
      <w:r>
        <w:rPr>
          <w:rFonts w:ascii="宋体" w:hAnsi="宋体" w:cs="宋体" w:eastAsia="宋体"/>
          <w:sz w:val="24"/>
        </w:rPr>
        <w:t>2）根据正式发布的数据资源目录做好数据采集工作，根据《福建交通统计月报》，对全省港口、机场、交通基本情况数据等年统计数据收集并导入、对重大节假日（春运期间、黄金周期间）的道路和水路运输情况，日客运量同比、环比上升下降趋势等进行专题展现。</w:t>
      </w:r>
    </w:p>
    <w:p>
      <w:pPr>
        <w:pStyle w:val="null3"/>
        <w:ind w:firstLine="480"/>
        <w:jc w:val="both"/>
      </w:pPr>
      <w:r>
        <w:rPr>
          <w:rFonts w:ascii="宋体" w:hAnsi="宋体" w:cs="宋体" w:eastAsia="宋体"/>
          <w:sz w:val="24"/>
          <w:b/>
        </w:rPr>
        <w:t>（指标</w:t>
      </w:r>
      <w:r>
        <w:rPr>
          <w:rFonts w:ascii="宋体" w:hAnsi="宋体" w:cs="宋体" w:eastAsia="宋体"/>
          <w:sz w:val="24"/>
          <w:b/>
        </w:rPr>
        <w:t>3）</w:t>
      </w:r>
      <w:r>
        <w:rPr>
          <w:rFonts w:ascii="宋体" w:hAnsi="宋体" w:cs="宋体" w:eastAsia="宋体"/>
          <w:sz w:val="24"/>
        </w:rPr>
        <w:t>1.2.2数据上报</w:t>
      </w:r>
    </w:p>
    <w:p>
      <w:pPr>
        <w:pStyle w:val="null3"/>
        <w:ind w:firstLine="480"/>
        <w:jc w:val="both"/>
      </w:pPr>
      <w:r>
        <w:rPr>
          <w:rFonts w:ascii="宋体" w:hAnsi="宋体" w:cs="宋体" w:eastAsia="宋体"/>
          <w:sz w:val="24"/>
        </w:rPr>
        <w:t>（</w:t>
      </w:r>
      <w:r>
        <w:rPr>
          <w:rFonts w:ascii="宋体" w:hAnsi="宋体" w:cs="宋体" w:eastAsia="宋体"/>
          <w:sz w:val="24"/>
        </w:rPr>
        <w:t>1）报福建省公共数据汇聚共享平台数据</w:t>
      </w:r>
    </w:p>
    <w:p>
      <w:pPr>
        <w:pStyle w:val="null3"/>
        <w:ind w:firstLine="480"/>
        <w:jc w:val="both"/>
      </w:pPr>
      <w:r>
        <w:rPr>
          <w:rFonts w:ascii="宋体" w:hAnsi="宋体" w:cs="宋体" w:eastAsia="宋体"/>
          <w:sz w:val="24"/>
        </w:rPr>
        <w:t>各部门数据推送完成后，根据福建省公共数据汇聚平台的目录清单将厅汇聚平台的目录进行转换，再将数据推送至福建省公共数据汇聚共享平台，保证数据传输的及时性和完整性。</w:t>
      </w:r>
    </w:p>
    <w:p>
      <w:pPr>
        <w:pStyle w:val="null3"/>
        <w:ind w:firstLine="480"/>
        <w:jc w:val="both"/>
      </w:pPr>
      <w:r>
        <w:rPr>
          <w:rFonts w:ascii="宋体" w:hAnsi="宋体" w:cs="宋体" w:eastAsia="宋体"/>
          <w:sz w:val="24"/>
        </w:rPr>
        <w:t>（</w:t>
      </w:r>
      <w:r>
        <w:rPr>
          <w:rFonts w:ascii="宋体" w:hAnsi="宋体" w:cs="宋体" w:eastAsia="宋体"/>
          <w:sz w:val="24"/>
        </w:rPr>
        <w:t>2）报部级交通运输数据资源交换共享平台数据</w:t>
      </w:r>
    </w:p>
    <w:p>
      <w:pPr>
        <w:pStyle w:val="null3"/>
        <w:ind w:firstLine="480"/>
        <w:jc w:val="both"/>
      </w:pPr>
      <w:r>
        <w:rPr>
          <w:rFonts w:ascii="宋体" w:hAnsi="宋体" w:cs="宋体" w:eastAsia="宋体"/>
          <w:sz w:val="24"/>
        </w:rPr>
        <w:t>根据上级主管部门要求，上报数据，并整改问题数据。</w:t>
      </w:r>
    </w:p>
    <w:p>
      <w:pPr>
        <w:pStyle w:val="null3"/>
        <w:ind w:firstLine="480"/>
        <w:jc w:val="both"/>
      </w:pPr>
      <w:r>
        <w:rPr>
          <w:rFonts w:ascii="宋体" w:hAnsi="宋体" w:cs="宋体" w:eastAsia="宋体"/>
          <w:sz w:val="24"/>
        </w:rPr>
        <w:t>A.根据交通运输部办公厅《关于印发省部水运政务数据共享工作方案的通知》（交办水函〔2019〕1156号）要求，为做好我省水运政务数据共享工作，结合我省水路运输和建设领域政务数据实际，开展水运数据每季度的上报任务，主要包括水路运输、船舶、人员经营许可类等信息、水运建设项目相关信息、港口经营许可证信息、港口危货类信息等。</w:t>
      </w:r>
    </w:p>
    <w:p>
      <w:pPr>
        <w:pStyle w:val="null3"/>
        <w:ind w:firstLine="480"/>
        <w:jc w:val="both"/>
      </w:pPr>
      <w:r>
        <w:rPr>
          <w:rFonts w:ascii="宋体" w:hAnsi="宋体" w:cs="宋体" w:eastAsia="宋体"/>
          <w:sz w:val="24"/>
        </w:rPr>
        <w:t>B.根据国务院关于信用工作的部署要求，为推动交通运输信用体系建设高质量发展，开展信用交通省建设重点工作，根据《信用交通测评指标（2023年版）》说明，开展信用数据每月上报任务。</w:t>
      </w:r>
    </w:p>
    <w:p>
      <w:pPr>
        <w:pStyle w:val="null3"/>
        <w:ind w:firstLine="480"/>
        <w:jc w:val="both"/>
      </w:pPr>
      <w:r>
        <w:rPr>
          <w:rFonts w:ascii="宋体" w:hAnsi="宋体" w:cs="宋体" w:eastAsia="宋体"/>
          <w:sz w:val="24"/>
        </w:rPr>
        <w:t>C.根据《开展道路水路客票数据汇聚上传支撑大数据分析有关工作的通知》（交办科技函〔2020〕264号）要求，开展道路水路客票数据每日汇聚工作，主要有订单号、售票、退票、检票时间、姓名、证件类别等信息。</w:t>
      </w:r>
    </w:p>
    <w:p>
      <w:pPr>
        <w:pStyle w:val="null3"/>
        <w:ind w:firstLine="480"/>
        <w:jc w:val="both"/>
      </w:pPr>
      <w:r>
        <w:rPr>
          <w:rFonts w:ascii="宋体" w:hAnsi="宋体" w:cs="宋体" w:eastAsia="宋体"/>
          <w:sz w:val="24"/>
          <w:b/>
        </w:rPr>
        <w:t>（指标</w:t>
      </w:r>
      <w:r>
        <w:rPr>
          <w:rFonts w:ascii="宋体" w:hAnsi="宋体" w:cs="宋体" w:eastAsia="宋体"/>
          <w:sz w:val="24"/>
          <w:b/>
        </w:rPr>
        <w:t>4）</w:t>
      </w:r>
      <w:r>
        <w:rPr>
          <w:rFonts w:ascii="宋体" w:hAnsi="宋体" w:cs="宋体" w:eastAsia="宋体"/>
          <w:sz w:val="24"/>
        </w:rPr>
        <w:t>1.2.3数据共享服务</w:t>
      </w:r>
    </w:p>
    <w:p>
      <w:pPr>
        <w:pStyle w:val="null3"/>
        <w:ind w:firstLine="480"/>
        <w:jc w:val="both"/>
      </w:pPr>
      <w:r>
        <w:rPr>
          <w:rFonts w:ascii="宋体" w:hAnsi="宋体" w:cs="宋体" w:eastAsia="宋体"/>
          <w:sz w:val="24"/>
        </w:rPr>
        <w:t>根据各需求部门提出的数据申请需求，及时对接沟通，反馈源数据单位，保障数据共享服务工作时效性。</w:t>
      </w:r>
    </w:p>
    <w:p>
      <w:pPr>
        <w:pStyle w:val="null3"/>
        <w:ind w:firstLine="480"/>
        <w:jc w:val="both"/>
      </w:pPr>
      <w:r>
        <w:rPr>
          <w:rFonts w:ascii="宋体" w:hAnsi="宋体" w:cs="宋体" w:eastAsia="宋体"/>
          <w:sz w:val="24"/>
        </w:rPr>
        <w:t>（</w:t>
      </w:r>
      <w:r>
        <w:rPr>
          <w:rFonts w:ascii="宋体" w:hAnsi="宋体" w:cs="宋体" w:eastAsia="宋体"/>
          <w:sz w:val="24"/>
        </w:rPr>
        <w:t>1）数据共享服务发布</w:t>
      </w:r>
    </w:p>
    <w:p>
      <w:pPr>
        <w:pStyle w:val="null3"/>
        <w:ind w:firstLine="480"/>
        <w:jc w:val="both"/>
      </w:pPr>
      <w:r>
        <w:rPr>
          <w:rFonts w:ascii="宋体" w:hAnsi="宋体" w:cs="宋体" w:eastAsia="宋体"/>
          <w:sz w:val="24"/>
        </w:rPr>
        <w:t>根据数据需求单位的需求清单，在厅汇聚平台发布共享服务清单，开展数据共享服务工作。</w:t>
      </w:r>
    </w:p>
    <w:p>
      <w:pPr>
        <w:pStyle w:val="null3"/>
        <w:ind w:firstLine="480"/>
        <w:jc w:val="both"/>
      </w:pPr>
      <w:r>
        <w:rPr>
          <w:rFonts w:ascii="宋体" w:hAnsi="宋体" w:cs="宋体" w:eastAsia="宋体"/>
          <w:sz w:val="24"/>
        </w:rPr>
        <w:t>（</w:t>
      </w:r>
      <w:r>
        <w:rPr>
          <w:rFonts w:ascii="宋体" w:hAnsi="宋体" w:cs="宋体" w:eastAsia="宋体"/>
          <w:sz w:val="24"/>
        </w:rPr>
        <w:t>2）数据共享回流工作</w:t>
      </w:r>
    </w:p>
    <w:p>
      <w:pPr>
        <w:pStyle w:val="null3"/>
        <w:ind w:firstLine="480"/>
        <w:jc w:val="both"/>
      </w:pPr>
      <w:r>
        <w:rPr>
          <w:rFonts w:ascii="宋体" w:hAnsi="宋体" w:cs="宋体" w:eastAsia="宋体"/>
          <w:sz w:val="24"/>
        </w:rPr>
        <w:t>统一收集汇总省交通运输厅内部需求清单，在省公共数据汇聚共享平台进行数据共享申请工作，并做好数据回流对接工作。目前主要为省执法一体化数据回流工作。</w:t>
      </w:r>
    </w:p>
    <w:p>
      <w:pPr>
        <w:pStyle w:val="null3"/>
        <w:ind w:firstLine="480"/>
        <w:jc w:val="both"/>
      </w:pPr>
      <w:r>
        <w:rPr>
          <w:rFonts w:ascii="宋体" w:hAnsi="宋体" w:cs="宋体" w:eastAsia="宋体"/>
          <w:sz w:val="24"/>
        </w:rPr>
        <w:t>（</w:t>
      </w:r>
      <w:r>
        <w:rPr>
          <w:rFonts w:ascii="宋体" w:hAnsi="宋体" w:cs="宋体" w:eastAsia="宋体"/>
          <w:sz w:val="24"/>
        </w:rPr>
        <w:t>3）应用需求响应</w:t>
      </w:r>
    </w:p>
    <w:p>
      <w:pPr>
        <w:pStyle w:val="null3"/>
        <w:ind w:firstLine="480"/>
        <w:jc w:val="both"/>
      </w:pPr>
      <w:r>
        <w:rPr>
          <w:rFonts w:ascii="宋体" w:hAnsi="宋体" w:cs="宋体" w:eastAsia="宋体"/>
          <w:sz w:val="24"/>
        </w:rPr>
        <w:t>在省公共数据汇聚平台，根据应用需求申请情况，反馈到数据源单位，督促及时审批回复，若在需求无法有效响应的情况下，需详细说明原因以及建议。</w:t>
      </w:r>
    </w:p>
    <w:p>
      <w:pPr>
        <w:pStyle w:val="null3"/>
        <w:ind w:firstLine="480"/>
        <w:jc w:val="both"/>
      </w:pPr>
      <w:r>
        <w:rPr>
          <w:rFonts w:ascii="宋体" w:hAnsi="宋体" w:cs="宋体" w:eastAsia="宋体"/>
          <w:sz w:val="24"/>
        </w:rPr>
        <w:t>（</w:t>
      </w:r>
      <w:r>
        <w:rPr>
          <w:rFonts w:ascii="宋体" w:hAnsi="宋体" w:cs="宋体" w:eastAsia="宋体"/>
          <w:sz w:val="24"/>
        </w:rPr>
        <w:t>4）国家政务服务接口申请调用工作</w:t>
      </w:r>
    </w:p>
    <w:p>
      <w:pPr>
        <w:pStyle w:val="null3"/>
        <w:ind w:firstLine="480"/>
        <w:jc w:val="both"/>
      </w:pPr>
      <w:r>
        <w:rPr>
          <w:rFonts w:ascii="宋体" w:hAnsi="宋体" w:cs="宋体" w:eastAsia="宋体"/>
          <w:sz w:val="24"/>
        </w:rPr>
        <w:t>汇总各厅直部门关于全国一体化政务服务平台数据资源的应用申请，配合做好数据需求填报和提交，待申请通过后配合开展数据共享调用工作。</w:t>
      </w:r>
    </w:p>
    <w:p>
      <w:pPr>
        <w:pStyle w:val="null3"/>
        <w:ind w:firstLine="480"/>
        <w:jc w:val="both"/>
      </w:pPr>
      <w:r>
        <w:rPr>
          <w:rFonts w:ascii="宋体" w:hAnsi="宋体" w:cs="宋体" w:eastAsia="宋体"/>
          <w:sz w:val="24"/>
          <w:b/>
        </w:rPr>
        <w:t>（指标</w:t>
      </w:r>
      <w:r>
        <w:rPr>
          <w:rFonts w:ascii="宋体" w:hAnsi="宋体" w:cs="宋体" w:eastAsia="宋体"/>
          <w:sz w:val="24"/>
          <w:b/>
        </w:rPr>
        <w:t>5）</w:t>
      </w:r>
      <w:r>
        <w:rPr>
          <w:rFonts w:ascii="宋体" w:hAnsi="宋体" w:cs="宋体" w:eastAsia="宋体"/>
          <w:sz w:val="24"/>
        </w:rPr>
        <w:t>1.2.4数据开放服务</w:t>
      </w:r>
    </w:p>
    <w:p>
      <w:pPr>
        <w:pStyle w:val="null3"/>
        <w:ind w:firstLine="480"/>
        <w:jc w:val="both"/>
      </w:pPr>
      <w:r>
        <w:rPr>
          <w:rFonts w:ascii="宋体" w:hAnsi="宋体" w:cs="宋体" w:eastAsia="宋体"/>
          <w:sz w:val="24"/>
        </w:rPr>
        <w:t>依据《福建省公共数据资源开放分级分类指南（试行）》规范要求，按照公共数据资源的性质、功能等进行分级分类，汇总梳理形成本地区、本部门公共数据资源开放目录清单，明确开放数据、开放类型、更新频率等内容和脱敏规则。协助各二级单位梳理并编制开放目录，上报上级主管部门，对接开放平台技术单位，保证省汇聚共享平台与开放平台目录的一致性，保证数据更新的及时性。</w:t>
      </w:r>
    </w:p>
    <w:p>
      <w:pPr>
        <w:pStyle w:val="null3"/>
        <w:ind w:firstLine="480"/>
        <w:jc w:val="both"/>
      </w:pPr>
      <w:r>
        <w:rPr>
          <w:rFonts w:ascii="宋体" w:hAnsi="宋体" w:cs="宋体" w:eastAsia="宋体"/>
          <w:sz w:val="24"/>
        </w:rPr>
        <w:t>调研交通运输厅行业内数据开放情况，</w:t>
      </w:r>
      <w:r>
        <w:rPr>
          <w:rFonts w:ascii="宋体" w:hAnsi="宋体" w:cs="宋体" w:eastAsia="宋体"/>
          <w:sz w:val="24"/>
        </w:rPr>
        <w:t>配合</w:t>
      </w:r>
      <w:r>
        <w:rPr>
          <w:rFonts w:ascii="宋体" w:hAnsi="宋体" w:cs="宋体" w:eastAsia="宋体"/>
          <w:sz w:val="24"/>
        </w:rPr>
        <w:t>厅直单位在平台</w:t>
      </w:r>
      <w:r>
        <w:rPr>
          <w:rFonts w:ascii="宋体" w:hAnsi="宋体" w:cs="宋体" w:eastAsia="宋体"/>
          <w:sz w:val="24"/>
        </w:rPr>
        <w:t>上</w:t>
      </w:r>
      <w:r>
        <w:rPr>
          <w:rFonts w:ascii="宋体" w:hAnsi="宋体" w:cs="宋体" w:eastAsia="宋体"/>
          <w:sz w:val="24"/>
        </w:rPr>
        <w:t>进行配置</w:t>
      </w:r>
      <w:r>
        <w:rPr>
          <w:rFonts w:ascii="宋体" w:hAnsi="宋体" w:cs="宋体" w:eastAsia="宋体"/>
          <w:sz w:val="24"/>
        </w:rPr>
        <w:t>，</w:t>
      </w:r>
      <w:r>
        <w:rPr>
          <w:rFonts w:ascii="宋体" w:hAnsi="宋体" w:cs="宋体" w:eastAsia="宋体"/>
          <w:sz w:val="24"/>
        </w:rPr>
        <w:t>及时</w:t>
      </w:r>
      <w:r>
        <w:rPr>
          <w:rFonts w:ascii="宋体" w:hAnsi="宋体" w:cs="宋体" w:eastAsia="宋体"/>
          <w:sz w:val="24"/>
        </w:rPr>
        <w:t>更新数据开放目录清单</w:t>
      </w:r>
      <w:r>
        <w:rPr>
          <w:rFonts w:ascii="宋体" w:hAnsi="宋体" w:cs="宋体" w:eastAsia="宋体"/>
          <w:sz w:val="24"/>
        </w:rPr>
        <w:t>。</w:t>
      </w:r>
    </w:p>
    <w:p>
      <w:pPr>
        <w:pStyle w:val="null3"/>
        <w:ind w:firstLine="480"/>
        <w:jc w:val="both"/>
      </w:pPr>
      <w:r>
        <w:rPr>
          <w:rFonts w:ascii="宋体" w:hAnsi="宋体" w:cs="宋体" w:eastAsia="宋体"/>
          <w:sz w:val="24"/>
          <w:b/>
        </w:rPr>
        <w:t>（指标</w:t>
      </w:r>
      <w:r>
        <w:rPr>
          <w:rFonts w:ascii="宋体" w:hAnsi="宋体" w:cs="宋体" w:eastAsia="宋体"/>
          <w:sz w:val="24"/>
          <w:b/>
        </w:rPr>
        <w:t>6）</w:t>
      </w:r>
      <w:r>
        <w:rPr>
          <w:rFonts w:ascii="宋体" w:hAnsi="宋体" w:cs="宋体" w:eastAsia="宋体"/>
          <w:sz w:val="24"/>
        </w:rPr>
        <w:t>1.2.5数据质量服务</w:t>
      </w:r>
    </w:p>
    <w:p>
      <w:pPr>
        <w:pStyle w:val="null3"/>
        <w:ind w:firstLine="480"/>
        <w:jc w:val="both"/>
      </w:pPr>
      <w:r>
        <w:rPr>
          <w:rFonts w:ascii="宋体" w:hAnsi="宋体" w:cs="宋体" w:eastAsia="宋体"/>
          <w:sz w:val="24"/>
        </w:rPr>
        <w:t>按照数据质量管理的要求，开展持续的数据治理工作。根据省公共数据汇聚平台提供的数据汇聚情况总表，梳理未更新清单</w:t>
      </w:r>
      <w:r>
        <w:rPr>
          <w:rFonts w:ascii="宋体" w:hAnsi="宋体" w:cs="宋体" w:eastAsia="宋体"/>
          <w:sz w:val="24"/>
        </w:rPr>
        <w:t>和</w:t>
      </w:r>
      <w:r>
        <w:rPr>
          <w:rFonts w:ascii="宋体" w:hAnsi="宋体" w:cs="宋体" w:eastAsia="宋体"/>
          <w:sz w:val="24"/>
        </w:rPr>
        <w:t>问题数据，细化分解到各单位，督促各项目负责人进行整改，主要包括字典值校验错误、空值校验错误、时间格式错误等。</w:t>
      </w:r>
    </w:p>
    <w:p>
      <w:pPr>
        <w:pStyle w:val="null3"/>
        <w:ind w:firstLine="480"/>
        <w:jc w:val="both"/>
      </w:pPr>
      <w:r>
        <w:rPr>
          <w:rFonts w:ascii="宋体" w:hAnsi="宋体" w:cs="宋体" w:eastAsia="宋体"/>
          <w:sz w:val="24"/>
          <w:b/>
        </w:rPr>
        <w:t>（指标</w:t>
      </w:r>
      <w:r>
        <w:rPr>
          <w:rFonts w:ascii="宋体" w:hAnsi="宋体" w:cs="宋体" w:eastAsia="宋体"/>
          <w:sz w:val="24"/>
          <w:b/>
        </w:rPr>
        <w:t>7）</w:t>
      </w:r>
      <w:r>
        <w:rPr>
          <w:rFonts w:ascii="宋体" w:hAnsi="宋体" w:cs="宋体" w:eastAsia="宋体"/>
          <w:sz w:val="24"/>
        </w:rPr>
        <w:t>1.2.6厅数据资源汇聚平台维护</w:t>
      </w:r>
    </w:p>
    <w:p>
      <w:pPr>
        <w:pStyle w:val="null3"/>
        <w:ind w:firstLine="480"/>
        <w:jc w:val="both"/>
      </w:pPr>
      <w:r>
        <w:rPr>
          <w:rFonts w:ascii="宋体" w:hAnsi="宋体" w:cs="宋体" w:eastAsia="宋体"/>
          <w:sz w:val="24"/>
        </w:rPr>
        <w:t>根据省公共数据汇聚平台上的资源目录，</w:t>
      </w:r>
      <w:r>
        <w:rPr>
          <w:rFonts w:ascii="宋体" w:hAnsi="宋体" w:cs="宋体" w:eastAsia="宋体"/>
          <w:sz w:val="24"/>
        </w:rPr>
        <w:t>及时</w:t>
      </w:r>
      <w:r>
        <w:rPr>
          <w:rFonts w:ascii="宋体" w:hAnsi="宋体" w:cs="宋体" w:eastAsia="宋体"/>
          <w:sz w:val="24"/>
        </w:rPr>
        <w:t>调整厅汇聚平台的资源目录，与各业务系统的开发单位共同开展接口联调工作；根据厅网络安全部门的要求，对厅汇聚平台进行安全整改和漏洞修复工作，系统安全等保测评（三级）整改工作</w:t>
      </w:r>
      <w:r>
        <w:rPr>
          <w:rFonts w:ascii="宋体" w:hAnsi="宋体" w:cs="宋体" w:eastAsia="宋体"/>
          <w:sz w:val="24"/>
        </w:rPr>
        <w:t>；</w:t>
      </w:r>
      <w:r>
        <w:rPr>
          <w:rFonts w:ascii="宋体" w:hAnsi="宋体" w:cs="宋体" w:eastAsia="宋体"/>
          <w:sz w:val="24"/>
        </w:rPr>
        <w:t>保证厅汇聚平台数据汇聚、共享功能正常运行。</w:t>
      </w:r>
    </w:p>
    <w:p>
      <w:pPr>
        <w:pStyle w:val="null3"/>
        <w:ind w:firstLine="480"/>
        <w:jc w:val="both"/>
      </w:pPr>
      <w:r>
        <w:rPr>
          <w:rFonts w:ascii="宋体" w:hAnsi="宋体" w:cs="宋体" w:eastAsia="宋体"/>
          <w:sz w:val="24"/>
        </w:rPr>
        <w:t>（</w:t>
      </w:r>
      <w:r>
        <w:rPr>
          <w:rFonts w:ascii="宋体" w:hAnsi="宋体" w:cs="宋体" w:eastAsia="宋体"/>
          <w:sz w:val="24"/>
        </w:rPr>
        <w:t>1）巡检。每天对系统平台进行巡检，及时消除故障隐患，保障系统的安全、稳定、持续运行， 确保服务性能、存储性能稳定，网络资源的可用，发现问题及时处理，巡检内容包括数据库运行情况；存放数据库的表空间是否充裕；归档日志是否有充裕的空间；服务器运行的磁盘空间、内存、CPU负荷是否正常。除此之外，还需要对应用系统的其余相关软件进行检查，与各业务系统的数据采集接口是否正常，数据上报接口是否正常，数据共享服务接口是否正常等。</w:t>
      </w:r>
    </w:p>
    <w:p>
      <w:pPr>
        <w:pStyle w:val="null3"/>
        <w:ind w:firstLine="480"/>
        <w:jc w:val="both"/>
      </w:pPr>
      <w:r>
        <w:rPr>
          <w:rFonts w:ascii="宋体" w:hAnsi="宋体" w:cs="宋体" w:eastAsia="宋体"/>
          <w:sz w:val="24"/>
        </w:rPr>
        <w:t>（</w:t>
      </w:r>
      <w:r>
        <w:rPr>
          <w:rFonts w:ascii="宋体" w:hAnsi="宋体" w:cs="宋体" w:eastAsia="宋体"/>
          <w:sz w:val="24"/>
        </w:rPr>
        <w:t>2）安全漏洞整。根据厅日常的网络安全运维提出的安全运维报告，对厅汇聚平台的安全和漏洞进行修复工作；完成每年的系统安全等保测评（三级）整改工作。</w:t>
      </w:r>
    </w:p>
    <w:p>
      <w:pPr>
        <w:pStyle w:val="null3"/>
        <w:ind w:firstLine="480"/>
        <w:jc w:val="both"/>
      </w:pPr>
      <w:r>
        <w:rPr>
          <w:rFonts w:ascii="宋体" w:hAnsi="宋体" w:cs="宋体" w:eastAsia="宋体"/>
          <w:sz w:val="24"/>
        </w:rPr>
        <w:t>（</w:t>
      </w:r>
      <w:r>
        <w:rPr>
          <w:rFonts w:ascii="宋体" w:hAnsi="宋体" w:cs="宋体" w:eastAsia="宋体"/>
          <w:sz w:val="24"/>
        </w:rPr>
        <w:t>3）平台功能升级：根据省平台技术规范，提升数据汇聚的即时性和完整性,实现与省平台双向对账功能。</w:t>
      </w:r>
    </w:p>
    <w:p>
      <w:pPr>
        <w:pStyle w:val="null3"/>
        <w:ind w:firstLine="480"/>
        <w:jc w:val="both"/>
      </w:pPr>
      <w:r>
        <w:rPr>
          <w:rFonts w:ascii="宋体" w:hAnsi="宋体" w:cs="宋体" w:eastAsia="宋体"/>
          <w:sz w:val="24"/>
          <w:b/>
        </w:rPr>
        <w:t>（指标</w:t>
      </w:r>
      <w:r>
        <w:rPr>
          <w:rFonts w:ascii="宋体" w:hAnsi="宋体" w:cs="宋体" w:eastAsia="宋体"/>
          <w:sz w:val="24"/>
          <w:b/>
        </w:rPr>
        <w:t>8）</w:t>
      </w:r>
      <w:r>
        <w:rPr>
          <w:rFonts w:ascii="宋体" w:hAnsi="宋体" w:cs="宋体" w:eastAsia="宋体"/>
          <w:sz w:val="24"/>
        </w:rPr>
        <w:t>1.2.7技术支持服务</w:t>
      </w:r>
    </w:p>
    <w:p>
      <w:pPr>
        <w:pStyle w:val="null3"/>
        <w:ind w:firstLine="480"/>
        <w:jc w:val="both"/>
      </w:pPr>
      <w:r>
        <w:rPr>
          <w:rFonts w:ascii="宋体" w:hAnsi="宋体" w:cs="宋体" w:eastAsia="宋体"/>
          <w:sz w:val="24"/>
        </w:rPr>
        <w:t>为各厅直负责管理数据汇聚系统部门提供相关数据汇聚的业务咨询、为各业务系统的运维单位提供数据汇聚的技术支持等工作。</w:t>
      </w:r>
    </w:p>
    <w:p>
      <w:pPr>
        <w:pStyle w:val="null3"/>
        <w:ind w:firstLine="480"/>
        <w:jc w:val="both"/>
      </w:pPr>
      <w:r>
        <w:rPr>
          <w:rFonts w:ascii="宋体" w:hAnsi="宋体" w:cs="宋体" w:eastAsia="宋体"/>
          <w:sz w:val="24"/>
          <w:b/>
        </w:rPr>
        <w:t>（指标</w:t>
      </w:r>
      <w:r>
        <w:rPr>
          <w:rFonts w:ascii="宋体" w:hAnsi="宋体" w:cs="宋体" w:eastAsia="宋体"/>
          <w:sz w:val="24"/>
          <w:b/>
        </w:rPr>
        <w:t>9）</w:t>
      </w:r>
      <w:r>
        <w:rPr>
          <w:rFonts w:ascii="宋体" w:hAnsi="宋体" w:cs="宋体" w:eastAsia="宋体"/>
          <w:sz w:val="24"/>
        </w:rPr>
        <w:t>1.2.8其他任务</w:t>
      </w:r>
    </w:p>
    <w:p>
      <w:pPr>
        <w:pStyle w:val="null3"/>
        <w:ind w:firstLine="480"/>
        <w:jc w:val="both"/>
      </w:pPr>
      <w:r>
        <w:rPr>
          <w:rFonts w:ascii="宋体" w:hAnsi="宋体" w:cs="宋体" w:eastAsia="宋体"/>
          <w:sz w:val="24"/>
        </w:rPr>
        <w:t>配合完成交通部、省政府交办的有关数据汇聚相关的工作任务。</w:t>
      </w:r>
    </w:p>
    <w:p>
      <w:pPr>
        <w:pStyle w:val="null3"/>
        <w:ind w:firstLine="480"/>
        <w:jc w:val="both"/>
      </w:pPr>
      <w:r>
        <w:rPr>
          <w:rFonts w:ascii="宋体" w:hAnsi="宋体" w:cs="宋体" w:eastAsia="宋体"/>
          <w:sz w:val="24"/>
          <w:b/>
        </w:rPr>
        <w:t>2、运维服务方式</w:t>
      </w:r>
    </w:p>
    <w:p>
      <w:pPr>
        <w:pStyle w:val="null3"/>
        <w:ind w:firstLine="480"/>
        <w:jc w:val="both"/>
      </w:pPr>
      <w:r>
        <w:rPr>
          <w:rFonts w:ascii="宋体" w:hAnsi="宋体" w:cs="宋体" w:eastAsia="宋体"/>
          <w:sz w:val="24"/>
        </w:rPr>
        <w:t>运维服务方式包括电话咨询、远程服务、现场服务、技术会商服务。</w:t>
      </w:r>
    </w:p>
    <w:p>
      <w:pPr>
        <w:pStyle w:val="null3"/>
        <w:ind w:firstLine="480"/>
        <w:jc w:val="both"/>
      </w:pPr>
      <w:r>
        <w:rPr>
          <w:rFonts w:ascii="宋体" w:hAnsi="宋体" w:cs="宋体" w:eastAsia="宋体"/>
          <w:sz w:val="24"/>
          <w:b/>
        </w:rPr>
        <w:t>（指标</w:t>
      </w:r>
      <w:r>
        <w:rPr>
          <w:rFonts w:ascii="宋体" w:hAnsi="宋体" w:cs="宋体" w:eastAsia="宋体"/>
          <w:sz w:val="24"/>
          <w:b/>
        </w:rPr>
        <w:t>10）</w:t>
      </w:r>
      <w:r>
        <w:rPr>
          <w:rFonts w:ascii="宋体" w:hAnsi="宋体" w:cs="宋体" w:eastAsia="宋体"/>
          <w:sz w:val="24"/>
        </w:rPr>
        <w:t>2.1电话咨询</w:t>
      </w:r>
    </w:p>
    <w:p>
      <w:pPr>
        <w:pStyle w:val="null3"/>
        <w:ind w:firstLine="480"/>
        <w:jc w:val="both"/>
      </w:pPr>
      <w:r>
        <w:rPr>
          <w:rFonts w:ascii="宋体" w:hAnsi="宋体" w:cs="宋体" w:eastAsia="宋体"/>
          <w:sz w:val="24"/>
        </w:rPr>
        <w:t>在服务过程期间，应向所有运行维护服务对象提供电话热线，提供业务和技术咨询服务。在</w:t>
      </w:r>
      <w:r>
        <w:rPr>
          <w:rFonts w:ascii="宋体" w:hAnsi="宋体" w:cs="宋体" w:eastAsia="宋体"/>
          <w:sz w:val="24"/>
        </w:rPr>
        <w:t>5*8小时工作时间内设置1路专人值守的热线电话，轮流接听内部的服务请求，并记录服务台事件处理结果；在非工作时间（含节假日）设置1路7*24小时接听手机热线，用于解决系统内部的技术问题以及接听处理有关情况，并在30分钟内响应。</w:t>
      </w:r>
    </w:p>
    <w:p>
      <w:pPr>
        <w:pStyle w:val="null3"/>
        <w:ind w:firstLine="480"/>
        <w:jc w:val="both"/>
      </w:pPr>
      <w:r>
        <w:rPr>
          <w:rFonts w:ascii="宋体" w:hAnsi="宋体" w:cs="宋体" w:eastAsia="宋体"/>
          <w:sz w:val="24"/>
          <w:b/>
        </w:rPr>
        <w:t>（指标</w:t>
      </w:r>
      <w:r>
        <w:rPr>
          <w:rFonts w:ascii="宋体" w:hAnsi="宋体" w:cs="宋体" w:eastAsia="宋体"/>
          <w:sz w:val="24"/>
          <w:b/>
        </w:rPr>
        <w:t>11）</w:t>
      </w:r>
      <w:r>
        <w:rPr>
          <w:rFonts w:ascii="宋体" w:hAnsi="宋体" w:cs="宋体" w:eastAsia="宋体"/>
          <w:sz w:val="24"/>
        </w:rPr>
        <w:t>2.2现场服务</w:t>
      </w:r>
    </w:p>
    <w:p>
      <w:pPr>
        <w:pStyle w:val="null3"/>
        <w:ind w:firstLine="480"/>
        <w:jc w:val="both"/>
      </w:pPr>
      <w:r>
        <w:rPr>
          <w:rFonts w:ascii="宋体" w:hAnsi="宋体" w:cs="宋体" w:eastAsia="宋体"/>
          <w:sz w:val="24"/>
        </w:rPr>
        <w:t>需要派遣具备独立工作能力和经验的人员每周</w:t>
      </w:r>
      <w:r>
        <w:rPr>
          <w:rFonts w:ascii="宋体" w:hAnsi="宋体" w:cs="宋体" w:eastAsia="宋体"/>
          <w:sz w:val="24"/>
        </w:rPr>
        <w:t>5*8小时常驻现场，对厅数据汇聚平台进行巡检维护，提供现场技术支持服务，确保平台高效、安全、稳定的运行。</w:t>
      </w:r>
    </w:p>
    <w:p>
      <w:pPr>
        <w:pStyle w:val="null3"/>
        <w:ind w:firstLine="480"/>
        <w:jc w:val="both"/>
      </w:pPr>
      <w:r>
        <w:rPr>
          <w:rFonts w:ascii="宋体" w:hAnsi="宋体" w:cs="宋体" w:eastAsia="宋体"/>
          <w:sz w:val="24"/>
          <w:b/>
        </w:rPr>
        <w:t>（指标</w:t>
      </w:r>
      <w:r>
        <w:rPr>
          <w:rFonts w:ascii="宋体" w:hAnsi="宋体" w:cs="宋体" w:eastAsia="宋体"/>
          <w:sz w:val="24"/>
          <w:b/>
        </w:rPr>
        <w:t>12）</w:t>
      </w:r>
      <w:r>
        <w:rPr>
          <w:rFonts w:ascii="宋体" w:hAnsi="宋体" w:cs="宋体" w:eastAsia="宋体"/>
          <w:sz w:val="24"/>
        </w:rPr>
        <w:t>2.3远程服务</w:t>
      </w:r>
    </w:p>
    <w:p>
      <w:pPr>
        <w:pStyle w:val="null3"/>
        <w:ind w:firstLine="480"/>
        <w:jc w:val="both"/>
      </w:pPr>
      <w:r>
        <w:rPr>
          <w:rFonts w:ascii="宋体" w:hAnsi="宋体" w:cs="宋体" w:eastAsia="宋体"/>
          <w:sz w:val="24"/>
        </w:rPr>
        <w:t>现场运维人员无法诊断与解决问题时，由二线技术人员通过远程方式提供运维服务，远程运维人员应在</w:t>
      </w:r>
      <w:r>
        <w:rPr>
          <w:rFonts w:ascii="宋体" w:hAnsi="宋体" w:cs="宋体" w:eastAsia="宋体"/>
          <w:sz w:val="24"/>
        </w:rPr>
        <w:t>15分钟内响应，解决客户的相关问题。</w:t>
      </w:r>
    </w:p>
    <w:p>
      <w:pPr>
        <w:pStyle w:val="null3"/>
        <w:ind w:firstLine="480"/>
        <w:jc w:val="both"/>
      </w:pPr>
      <w:r>
        <w:rPr>
          <w:rFonts w:ascii="宋体" w:hAnsi="宋体" w:cs="宋体" w:eastAsia="宋体"/>
          <w:sz w:val="24"/>
          <w:b/>
        </w:rPr>
        <w:t>（指标</w:t>
      </w:r>
      <w:r>
        <w:rPr>
          <w:rFonts w:ascii="宋体" w:hAnsi="宋体" w:cs="宋体" w:eastAsia="宋体"/>
          <w:sz w:val="24"/>
          <w:b/>
        </w:rPr>
        <w:t>13）</w:t>
      </w:r>
      <w:r>
        <w:rPr>
          <w:rFonts w:ascii="宋体" w:hAnsi="宋体" w:cs="宋体" w:eastAsia="宋体"/>
          <w:sz w:val="24"/>
        </w:rPr>
        <w:t>2.4技术会商服务</w:t>
      </w:r>
    </w:p>
    <w:p>
      <w:pPr>
        <w:pStyle w:val="null3"/>
        <w:ind w:firstLine="480"/>
        <w:jc w:val="both"/>
      </w:pPr>
      <w:r>
        <w:rPr>
          <w:rFonts w:ascii="宋体" w:hAnsi="宋体" w:cs="宋体" w:eastAsia="宋体"/>
          <w:sz w:val="24"/>
        </w:rPr>
        <w:t>当以上方式都无法解决问题时，需组织相关技术专家进行技术会商，同时记录现场服务处理的结果。</w:t>
      </w:r>
    </w:p>
    <w:p>
      <w:pPr>
        <w:pStyle w:val="null3"/>
        <w:ind w:firstLine="480"/>
        <w:jc w:val="both"/>
      </w:pPr>
      <w:r>
        <w:rPr>
          <w:rFonts w:ascii="宋体" w:hAnsi="宋体" w:cs="宋体" w:eastAsia="宋体"/>
          <w:sz w:val="24"/>
          <w:b/>
        </w:rPr>
        <w:t>★3、应急响应</w:t>
      </w:r>
    </w:p>
    <w:p>
      <w:pPr>
        <w:pStyle w:val="null3"/>
        <w:ind w:firstLine="480"/>
        <w:jc w:val="both"/>
      </w:pPr>
      <w:r>
        <w:rPr>
          <w:rFonts w:ascii="宋体" w:hAnsi="宋体" w:cs="宋体" w:eastAsia="宋体"/>
          <w:sz w:val="24"/>
        </w:rPr>
        <w:t>根据福建省交通运输厅数据资源汇聚平台紧急情况，分为</w:t>
      </w:r>
      <w:r>
        <w:rPr>
          <w:rFonts w:ascii="宋体" w:hAnsi="宋体" w:cs="宋体" w:eastAsia="宋体"/>
          <w:sz w:val="24"/>
        </w:rPr>
        <w:t>4级应急响应。</w:t>
      </w:r>
    </w:p>
    <w:p>
      <w:pPr>
        <w:pStyle w:val="null3"/>
        <w:ind w:firstLine="480"/>
        <w:jc w:val="both"/>
      </w:pPr>
      <w:r>
        <w:rPr>
          <w:rFonts w:ascii="宋体" w:hAnsi="宋体" w:cs="宋体" w:eastAsia="宋体"/>
          <w:sz w:val="24"/>
        </w:rPr>
        <w:t>IV级情况。属于普通问题,其具体现象为：系统技术功能、安装或配置咨询，或其他显然不影响业务的故障。要求在30分钟响应，2小时内提交处理方案，3天内完成故障处理。</w:t>
      </w:r>
    </w:p>
    <w:p>
      <w:pPr>
        <w:pStyle w:val="null3"/>
        <w:ind w:firstLine="480"/>
        <w:jc w:val="both"/>
      </w:pPr>
      <w:r>
        <w:rPr>
          <w:rFonts w:ascii="宋体" w:hAnsi="宋体" w:cs="宋体" w:eastAsia="宋体"/>
          <w:sz w:val="24"/>
        </w:rPr>
        <w:t>III级情况。属于较严重问题，其具体现象为：出现系统报错或警告，但业务系统能继续运行且性能不受影响。要求在30分钟响应，48小时内完成故障处理。</w:t>
      </w:r>
    </w:p>
    <w:p>
      <w:pPr>
        <w:pStyle w:val="null3"/>
        <w:ind w:firstLine="480"/>
        <w:jc w:val="both"/>
      </w:pPr>
      <w:r>
        <w:rPr>
          <w:rFonts w:ascii="宋体" w:hAnsi="宋体" w:cs="宋体" w:eastAsia="宋体"/>
          <w:sz w:val="24"/>
        </w:rPr>
        <w:t>II级情况。属于严重问题，其具体现象为：出现部分业务功能失效、系统性能下降等问题，但能正常运行，不影响正常业务运作。要求在30分钟响应，24小时内完成故障处理。</w:t>
      </w:r>
    </w:p>
    <w:p>
      <w:pPr>
        <w:pStyle w:val="null3"/>
        <w:ind w:firstLine="480"/>
        <w:jc w:val="both"/>
      </w:pPr>
      <w:r>
        <w:rPr>
          <w:rFonts w:ascii="宋体" w:hAnsi="宋体" w:cs="宋体" w:eastAsia="宋体"/>
          <w:sz w:val="24"/>
        </w:rPr>
        <w:t>I级情况。属于紧急问题；其具体现象为：系统崩溃导致业务停止、数据丢失。要求在30分钟响应，12小时内完成故障处理。</w:t>
      </w:r>
    </w:p>
    <w:p>
      <w:pPr>
        <w:pStyle w:val="null3"/>
        <w:ind w:firstLine="480"/>
        <w:jc w:val="both"/>
      </w:pPr>
      <w:r>
        <w:rPr>
          <w:rFonts w:ascii="宋体" w:hAnsi="宋体" w:cs="宋体" w:eastAsia="宋体"/>
          <w:sz w:val="24"/>
        </w:rPr>
        <w:t>对于</w:t>
      </w:r>
      <w:r>
        <w:rPr>
          <w:rFonts w:ascii="宋体" w:hAnsi="宋体" w:cs="宋体" w:eastAsia="宋体"/>
          <w:sz w:val="24"/>
        </w:rPr>
        <w:t>“系统瘫痪，业务系统不能运转”的故障级别，如果不能于12小时内解决故障，应在16小时内提出应急方案，确保业务系统的运行。故障解决后24小时内，提交故障处理报告，说明故障种类、故障原因、故障解决中使用的方法及故障损失等情况。如果确实无法按时解决，应提供替代性解决办法，并在与中心协商沟通的基础上确定完成时限。技术支持人员在解决故障时，应最大限度保护好数据，做好故障恢复的文档，保证恢复到故障点前的业务状态。</w:t>
      </w:r>
    </w:p>
    <w:p>
      <w:pPr>
        <w:pStyle w:val="null3"/>
        <w:ind w:firstLine="480"/>
        <w:jc w:val="both"/>
      </w:pPr>
      <w:r>
        <w:rPr>
          <w:rFonts w:ascii="宋体" w:hAnsi="宋体" w:cs="宋体" w:eastAsia="宋体"/>
          <w:sz w:val="24"/>
          <w:b/>
        </w:rPr>
        <w:t>4、服务驻点人员要求</w:t>
      </w:r>
    </w:p>
    <w:p>
      <w:pPr>
        <w:pStyle w:val="null3"/>
        <w:ind w:firstLine="480"/>
        <w:jc w:val="both"/>
      </w:pPr>
      <w:r>
        <w:rPr>
          <w:rFonts w:ascii="宋体" w:hAnsi="宋体" w:cs="宋体" w:eastAsia="宋体"/>
          <w:sz w:val="24"/>
        </w:rPr>
        <w:t>要求</w:t>
      </w:r>
      <w:r>
        <w:rPr>
          <w:rFonts w:ascii="宋体" w:hAnsi="宋体" w:cs="宋体" w:eastAsia="宋体"/>
          <w:sz w:val="24"/>
        </w:rPr>
        <w:t>1名项目经理、2名现场驻点服务人员。提供目录编制、数据汇聚、数据上报、数据开放、数据质量等服务工作。</w:t>
      </w:r>
    </w:p>
    <w:p>
      <w:pPr>
        <w:pStyle w:val="null3"/>
        <w:ind w:firstLine="480"/>
        <w:jc w:val="both"/>
      </w:pPr>
      <w:r>
        <w:rPr>
          <w:rFonts w:ascii="宋体" w:hAnsi="宋体" w:cs="宋体" w:eastAsia="宋体"/>
          <w:sz w:val="24"/>
          <w:b/>
        </w:rPr>
        <w:t>（指标</w:t>
      </w:r>
      <w:r>
        <w:rPr>
          <w:rFonts w:ascii="宋体" w:hAnsi="宋体" w:cs="宋体" w:eastAsia="宋体"/>
          <w:sz w:val="24"/>
          <w:b/>
        </w:rPr>
        <w:t>14）</w:t>
      </w:r>
      <w:r>
        <w:rPr>
          <w:rFonts w:ascii="宋体" w:hAnsi="宋体" w:cs="宋体" w:eastAsia="宋体"/>
          <w:sz w:val="24"/>
        </w:rPr>
        <w:t>4.1项目经理要求（1人）</w:t>
      </w:r>
    </w:p>
    <w:p>
      <w:pPr>
        <w:pStyle w:val="null3"/>
        <w:ind w:firstLine="480"/>
        <w:jc w:val="both"/>
      </w:pPr>
      <w:r>
        <w:rPr>
          <w:rFonts w:ascii="宋体" w:hAnsi="宋体" w:cs="宋体" w:eastAsia="宋体"/>
          <w:sz w:val="24"/>
        </w:rPr>
        <w:t>主要包括人员要求和工作职责。</w:t>
      </w:r>
    </w:p>
    <w:p>
      <w:pPr>
        <w:pStyle w:val="null3"/>
        <w:ind w:firstLine="480"/>
        <w:jc w:val="both"/>
      </w:pPr>
      <w:r>
        <w:rPr>
          <w:rFonts w:ascii="宋体" w:hAnsi="宋体" w:cs="宋体" w:eastAsia="宋体"/>
          <w:sz w:val="24"/>
        </w:rPr>
        <w:t>（</w:t>
      </w:r>
      <w:r>
        <w:rPr>
          <w:rFonts w:ascii="宋体" w:hAnsi="宋体" w:cs="宋体" w:eastAsia="宋体"/>
          <w:sz w:val="24"/>
        </w:rPr>
        <w:t>1）人员要求</w:t>
      </w:r>
    </w:p>
    <w:p>
      <w:pPr>
        <w:pStyle w:val="null3"/>
        <w:ind w:firstLine="480"/>
        <w:jc w:val="both"/>
      </w:pPr>
      <w:r>
        <w:rPr>
          <w:rFonts w:ascii="宋体" w:hAnsi="宋体" w:cs="宋体" w:eastAsia="宋体"/>
          <w:sz w:val="24"/>
        </w:rPr>
        <w:t>本科及以上学历，至少</w:t>
      </w:r>
      <w:r>
        <w:rPr>
          <w:rFonts w:ascii="宋体" w:hAnsi="宋体" w:cs="宋体" w:eastAsia="宋体"/>
          <w:sz w:val="24"/>
        </w:rPr>
        <w:t>3年政务数据相关的信息化项目管理经验，熟悉交通数据汇聚共享服务等工作。</w:t>
      </w:r>
    </w:p>
    <w:p>
      <w:pPr>
        <w:pStyle w:val="null3"/>
        <w:ind w:firstLine="480"/>
        <w:jc w:val="both"/>
      </w:pPr>
      <w:r>
        <w:rPr>
          <w:rFonts w:ascii="宋体" w:hAnsi="宋体" w:cs="宋体" w:eastAsia="宋体"/>
          <w:sz w:val="24"/>
        </w:rPr>
        <w:t>（</w:t>
      </w:r>
      <w:r>
        <w:rPr>
          <w:rFonts w:ascii="宋体" w:hAnsi="宋体" w:cs="宋体" w:eastAsia="宋体"/>
          <w:sz w:val="24"/>
        </w:rPr>
        <w:t>2）工作职责</w:t>
      </w:r>
    </w:p>
    <w:p>
      <w:pPr>
        <w:pStyle w:val="null3"/>
        <w:ind w:firstLine="480"/>
        <w:jc w:val="both"/>
      </w:pPr>
      <w:r>
        <w:rPr>
          <w:rFonts w:ascii="宋体" w:hAnsi="宋体" w:cs="宋体" w:eastAsia="宋体"/>
          <w:sz w:val="24"/>
        </w:rPr>
        <w:t>主要负责本服务计划制定、推进项目、对接各干系人等工作；参与本服务所有工作内容；不定期汇报工作等。</w:t>
      </w:r>
    </w:p>
    <w:p>
      <w:pPr>
        <w:pStyle w:val="null3"/>
        <w:ind w:firstLine="480"/>
        <w:jc w:val="both"/>
      </w:pPr>
      <w:r>
        <w:rPr>
          <w:rFonts w:ascii="宋体" w:hAnsi="宋体" w:cs="宋体" w:eastAsia="宋体"/>
          <w:sz w:val="24"/>
          <w:b/>
        </w:rPr>
        <w:t>（指标</w:t>
      </w:r>
      <w:r>
        <w:rPr>
          <w:rFonts w:ascii="宋体" w:hAnsi="宋体" w:cs="宋体" w:eastAsia="宋体"/>
          <w:sz w:val="24"/>
          <w:b/>
        </w:rPr>
        <w:t>15）</w:t>
      </w:r>
      <w:r>
        <w:rPr>
          <w:rFonts w:ascii="宋体" w:hAnsi="宋体" w:cs="宋体" w:eastAsia="宋体"/>
          <w:sz w:val="24"/>
        </w:rPr>
        <w:t>4.2服务驻点人员要求（2人）</w:t>
      </w:r>
    </w:p>
    <w:p>
      <w:pPr>
        <w:pStyle w:val="null3"/>
        <w:ind w:firstLine="480"/>
        <w:jc w:val="both"/>
      </w:pPr>
      <w:r>
        <w:rPr>
          <w:rFonts w:ascii="宋体" w:hAnsi="宋体" w:cs="宋体" w:eastAsia="宋体"/>
          <w:sz w:val="24"/>
        </w:rPr>
        <w:t>主要包括人员要求和工作职责。</w:t>
      </w:r>
    </w:p>
    <w:p>
      <w:pPr>
        <w:pStyle w:val="null3"/>
        <w:ind w:firstLine="480"/>
        <w:jc w:val="both"/>
      </w:pPr>
      <w:r>
        <w:rPr>
          <w:rFonts w:ascii="宋体" w:hAnsi="宋体" w:cs="宋体" w:eastAsia="宋体"/>
          <w:sz w:val="24"/>
        </w:rPr>
        <w:t>（</w:t>
      </w:r>
      <w:r>
        <w:rPr>
          <w:rFonts w:ascii="宋体" w:hAnsi="宋体" w:cs="宋体" w:eastAsia="宋体"/>
          <w:sz w:val="24"/>
        </w:rPr>
        <w:t>1）人员要求</w:t>
      </w:r>
    </w:p>
    <w:p>
      <w:pPr>
        <w:pStyle w:val="null3"/>
        <w:ind w:firstLine="480"/>
        <w:jc w:val="both"/>
      </w:pPr>
      <w:r>
        <w:rPr>
          <w:rFonts w:ascii="宋体" w:hAnsi="宋体" w:cs="宋体" w:eastAsia="宋体"/>
          <w:sz w:val="24"/>
        </w:rPr>
        <w:t>本科及以上学历，至少</w:t>
      </w:r>
      <w:r>
        <w:rPr>
          <w:rFonts w:ascii="宋体" w:hAnsi="宋体" w:cs="宋体" w:eastAsia="宋体"/>
          <w:sz w:val="24"/>
        </w:rPr>
        <w:t>1年信息化项目服务经验，具备良好的沟通能力。</w:t>
      </w:r>
    </w:p>
    <w:p>
      <w:pPr>
        <w:pStyle w:val="null3"/>
        <w:ind w:firstLine="480"/>
        <w:jc w:val="both"/>
      </w:pPr>
      <w:r>
        <w:rPr>
          <w:rFonts w:ascii="宋体" w:hAnsi="宋体" w:cs="宋体" w:eastAsia="宋体"/>
          <w:sz w:val="24"/>
        </w:rPr>
        <w:t>（</w:t>
      </w:r>
      <w:r>
        <w:rPr>
          <w:rFonts w:ascii="宋体" w:hAnsi="宋体" w:cs="宋体" w:eastAsia="宋体"/>
          <w:sz w:val="24"/>
        </w:rPr>
        <w:t>2）工作职责</w:t>
      </w:r>
    </w:p>
    <w:p>
      <w:pPr>
        <w:pStyle w:val="null3"/>
        <w:jc w:val="both"/>
      </w:pPr>
      <w:r>
        <w:rPr>
          <w:rFonts w:ascii="宋体" w:hAnsi="宋体" w:cs="宋体" w:eastAsia="宋体"/>
          <w:sz w:val="24"/>
        </w:rPr>
        <w:t>配合项目经理完成本服务所有工作内容，负责提供目录编制、数据汇聚、数据上报、数据开放、数据质量及技术咨询等服务工作。</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福建省福州市鼓楼区东水路18号综合交通大楼</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按照招标文件要求完成服务，经采购人验收合格。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项目运维服务期（自合同签订日起365日）结束且中标人按照招标文件及合同要求，已完成全部运维工作。中标人提出验收申请并将有关文件资料装订成册交付采购人确认，采购人组织验收工作，中标人应积极配合项目验收工作，中标人必须在提起验收申请后40个工作日内通过采购人组织的验收。若中标人未按上述期限完成验收，违约责任参照合同有关条款执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1、合同签订后30日，达到付款条件起10日内，支付合同总金额的30.00%</w:t>
            </w:r>
          </w:p>
          <w:p>
            <w:pPr>
              <w:pStyle w:val="null3"/>
              <w:jc w:val="left"/>
            </w:pPr>
            <w:r>
              <w:rPr/>
              <w:t>2、服务执行半年后，通过项目半年验收后按考核及支付标准进行支付，考核分达到90分（含90分）以上，达到付款条件起10日内，支付合同总金额的20.00%</w:t>
            </w:r>
          </w:p>
          <w:p>
            <w:pPr>
              <w:pStyle w:val="null3"/>
              <w:jc w:val="left"/>
            </w:pPr>
            <w:r>
              <w:rPr/>
              <w:t>3、服务执行完毕后，通过项目整体验收后按考核及支付标准进行支付；考核分达到90分（含90分）以上，达到付款条件起10日内，支付合同总金额的50.00%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b/>
        </w:rPr>
        <w:t>★</w:t>
      </w:r>
      <w:r>
        <w:rPr>
          <w:rFonts w:ascii="宋体" w:hAnsi="宋体" w:cs="宋体" w:eastAsia="宋体"/>
          <w:sz w:val="24"/>
        </w:rPr>
        <w:t>8、</w:t>
      </w:r>
      <w:r>
        <w:rPr>
          <w:rFonts w:ascii="宋体" w:hAnsi="宋体" w:cs="宋体" w:eastAsia="宋体"/>
          <w:sz w:val="24"/>
        </w:rPr>
        <w:t>验收</w:t>
      </w:r>
    </w:p>
    <w:p>
      <w:pPr>
        <w:pStyle w:val="null3"/>
        <w:ind w:firstLine="480"/>
        <w:jc w:val="left"/>
      </w:pPr>
      <w:r>
        <w:rPr>
          <w:rFonts w:ascii="宋体" w:hAnsi="宋体" w:cs="宋体" w:eastAsia="宋体"/>
          <w:sz w:val="24"/>
        </w:rPr>
        <w:t>8</w:t>
      </w:r>
      <w:r>
        <w:rPr>
          <w:rFonts w:ascii="宋体" w:hAnsi="宋体" w:cs="宋体" w:eastAsia="宋体"/>
          <w:sz w:val="24"/>
        </w:rPr>
        <w:t>.1验收流程</w:t>
      </w:r>
    </w:p>
    <w:p>
      <w:pPr>
        <w:pStyle w:val="null3"/>
        <w:ind w:firstLine="480"/>
        <w:jc w:val="left"/>
      </w:pPr>
      <w:r>
        <w:rPr>
          <w:rFonts w:ascii="宋体" w:hAnsi="宋体" w:cs="宋体" w:eastAsia="宋体"/>
          <w:sz w:val="24"/>
        </w:rPr>
        <w:t>运维方根据合同中规定的验收条件进行自查，确认满足条件后，向福建省交通信息通信与应急处置中心提交验收审核申请，并提交验收材料（包括但不限于月报、半年运维报告、巡检计划、值班表等）。福建省交通信息通信与应急处置中心审查运维方的验收材料，如审查合格，组织福建省交通信息通信与应急处置中心、使用方和运维方进行验收。</w:t>
      </w:r>
    </w:p>
    <w:p>
      <w:pPr>
        <w:pStyle w:val="null3"/>
        <w:ind w:firstLine="480"/>
        <w:jc w:val="left"/>
      </w:pPr>
      <w:r>
        <w:rPr>
          <w:rFonts w:ascii="宋体" w:hAnsi="宋体" w:cs="宋体" w:eastAsia="宋体"/>
          <w:sz w:val="24"/>
        </w:rPr>
        <w:t>8</w:t>
      </w:r>
      <w:r>
        <w:rPr>
          <w:rFonts w:ascii="宋体" w:hAnsi="宋体" w:cs="宋体" w:eastAsia="宋体"/>
          <w:sz w:val="24"/>
        </w:rPr>
        <w:t>.2验收周期及验收材料</w:t>
      </w:r>
    </w:p>
    <w:p>
      <w:pPr>
        <w:pStyle w:val="null3"/>
        <w:ind w:firstLine="480"/>
        <w:jc w:val="left"/>
      </w:pPr>
      <w:r>
        <w:rPr>
          <w:rFonts w:ascii="宋体" w:hAnsi="宋体" w:cs="宋体" w:eastAsia="宋体"/>
          <w:sz w:val="24"/>
        </w:rPr>
        <w:t>半年开展一次阶段性验收，服务完成一年后开展一次年度终验验收。运维项目验收时提供本次项目运维过程材料，包括但不限于巡检记录、服务报表、人员签到表、服务总结报告等，具体如下：</w:t>
      </w:r>
    </w:p>
    <w:p>
      <w:pPr>
        <w:pStyle w:val="null3"/>
        <w:ind w:firstLine="480"/>
        <w:jc w:val="left"/>
      </w:pPr>
      <w:r>
        <w:rPr>
          <w:rFonts w:ascii="宋体" w:hAnsi="宋体" w:cs="宋体" w:eastAsia="宋体"/>
          <w:sz w:val="24"/>
        </w:rPr>
        <w:t>（</w:t>
      </w:r>
      <w:r>
        <w:rPr>
          <w:rFonts w:ascii="宋体" w:hAnsi="宋体" w:cs="宋体" w:eastAsia="宋体"/>
          <w:sz w:val="24"/>
        </w:rPr>
        <w:t>1）提交服务月度报告。包含目录登记情况、数据汇聚情况、数据更新情况、问题数据整改情况等；系统漏洞修补情况（如有）。</w:t>
      </w:r>
    </w:p>
    <w:p>
      <w:pPr>
        <w:pStyle w:val="null3"/>
        <w:ind w:firstLine="480"/>
        <w:jc w:val="left"/>
      </w:pPr>
      <w:r>
        <w:rPr>
          <w:rFonts w:ascii="宋体" w:hAnsi="宋体" w:cs="宋体" w:eastAsia="宋体"/>
          <w:sz w:val="24"/>
        </w:rPr>
        <w:t>（</w:t>
      </w:r>
      <w:r>
        <w:rPr>
          <w:rFonts w:ascii="宋体" w:hAnsi="宋体" w:cs="宋体" w:eastAsia="宋体"/>
          <w:sz w:val="24"/>
        </w:rPr>
        <w:t>2）按照月度提供巡检报告。从应用系统运行层面，定时对系统的运行可靠性及稳定性进行有效监控，确保应用系统平稳运行。定时对系统云资源使用情况进行监控，包括CPU使用率、内存使用率、硬盘使用率，每月提交云资源监测报告，资源使用率达到警戒值时应及时申报。</w:t>
      </w:r>
    </w:p>
    <w:p>
      <w:pPr>
        <w:pStyle w:val="null3"/>
        <w:ind w:firstLine="480"/>
        <w:jc w:val="left"/>
      </w:pPr>
      <w:r>
        <w:rPr>
          <w:rFonts w:ascii="宋体" w:hAnsi="宋体" w:cs="宋体" w:eastAsia="宋体"/>
          <w:sz w:val="24"/>
        </w:rPr>
        <w:t>（</w:t>
      </w:r>
      <w:r>
        <w:rPr>
          <w:rFonts w:ascii="宋体" w:hAnsi="宋体" w:cs="宋体" w:eastAsia="宋体"/>
          <w:sz w:val="24"/>
        </w:rPr>
        <w:t>3）驻点人员签到表</w:t>
      </w:r>
    </w:p>
    <w:p>
      <w:pPr>
        <w:pStyle w:val="null3"/>
        <w:ind w:firstLine="480"/>
        <w:jc w:val="left"/>
      </w:pPr>
      <w:r>
        <w:rPr>
          <w:rFonts w:ascii="宋体" w:hAnsi="宋体" w:cs="宋体" w:eastAsia="宋体"/>
          <w:sz w:val="24"/>
        </w:rPr>
        <w:t>（</w:t>
      </w:r>
      <w:r>
        <w:rPr>
          <w:rFonts w:ascii="宋体" w:hAnsi="宋体" w:cs="宋体" w:eastAsia="宋体"/>
          <w:sz w:val="24"/>
        </w:rPr>
        <w:t>4）运维服务考核情况表</w:t>
      </w:r>
    </w:p>
    <w:p>
      <w:pPr>
        <w:pStyle w:val="null3"/>
        <w:ind w:firstLine="480"/>
        <w:jc w:val="left"/>
      </w:pPr>
      <w:r>
        <w:rPr>
          <w:rFonts w:ascii="宋体" w:hAnsi="宋体" w:cs="宋体" w:eastAsia="宋体"/>
          <w:sz w:val="24"/>
        </w:rPr>
        <w:t>8</w:t>
      </w:r>
      <w:r>
        <w:rPr>
          <w:rFonts w:ascii="宋体" w:hAnsi="宋体" w:cs="宋体" w:eastAsia="宋体"/>
          <w:sz w:val="24"/>
        </w:rPr>
        <w:t>.3验收结果</w:t>
      </w:r>
    </w:p>
    <w:p>
      <w:pPr>
        <w:pStyle w:val="null3"/>
        <w:ind w:firstLine="480"/>
        <w:jc w:val="left"/>
      </w:pPr>
      <w:r>
        <w:rPr>
          <w:rFonts w:ascii="宋体" w:hAnsi="宋体" w:cs="宋体" w:eastAsia="宋体"/>
          <w:sz w:val="24"/>
        </w:rPr>
        <w:t>验收小组（由各方人员共同组成）根据制定的验收标准，实施验收。根据验收结果生成验收报告。</w:t>
      </w:r>
    </w:p>
    <w:p>
      <w:pPr>
        <w:pStyle w:val="null3"/>
        <w:ind w:firstLine="480"/>
        <w:jc w:val="left"/>
      </w:pPr>
      <w:r>
        <w:rPr>
          <w:rFonts w:ascii="宋体" w:hAnsi="宋体" w:cs="宋体" w:eastAsia="宋体"/>
          <w:sz w:val="24"/>
          <w:b/>
        </w:rPr>
        <w:t>★</w:t>
      </w:r>
      <w:r>
        <w:rPr>
          <w:rFonts w:ascii="宋体" w:hAnsi="宋体" w:cs="宋体" w:eastAsia="宋体"/>
          <w:sz w:val="24"/>
          <w:color w:val="000000"/>
          <w:shd w:fill="FFFFFF" w:val="clear"/>
        </w:rPr>
        <w:t>9.运维服务考核</w:t>
      </w:r>
    </w:p>
    <w:p>
      <w:pPr>
        <w:pStyle w:val="null3"/>
        <w:ind w:firstLine="480"/>
        <w:jc w:val="left"/>
      </w:pPr>
      <w:r>
        <w:rPr>
          <w:rFonts w:ascii="宋体" w:hAnsi="宋体" w:cs="宋体" w:eastAsia="宋体"/>
          <w:sz w:val="24"/>
        </w:rPr>
        <w:t>9.1</w:t>
      </w:r>
      <w:r>
        <w:rPr>
          <w:rFonts w:ascii="宋体" w:hAnsi="宋体" w:cs="宋体" w:eastAsia="宋体"/>
          <w:sz w:val="24"/>
        </w:rPr>
        <w:t>日常性维护以服务考核作为工作验收和付费依据。</w:t>
      </w:r>
    </w:p>
    <w:p>
      <w:pPr>
        <w:pStyle w:val="null3"/>
        <w:ind w:firstLine="480"/>
        <w:jc w:val="left"/>
      </w:pPr>
      <w:r>
        <w:rPr>
          <w:rFonts w:ascii="宋体" w:hAnsi="宋体" w:cs="宋体" w:eastAsia="宋体"/>
          <w:sz w:val="24"/>
        </w:rPr>
        <w:t>9.2</w:t>
      </w:r>
      <w:r>
        <w:rPr>
          <w:rFonts w:ascii="宋体" w:hAnsi="宋体" w:cs="宋体" w:eastAsia="宋体"/>
          <w:sz w:val="24"/>
        </w:rPr>
        <w:t>由福建省交通信息通信与应急处置中心结合工作实际进行考核，考核办法满分为</w:t>
      </w:r>
      <w:r>
        <w:rPr>
          <w:rFonts w:ascii="宋体" w:hAnsi="宋体" w:cs="宋体" w:eastAsia="宋体"/>
          <w:sz w:val="24"/>
        </w:rPr>
        <w:t>100分，该分数将作为服务费用支出的依据。当次考核分数高于90分（含90分），支付当次考核总额的100%为服务费；考核分数89-80分，支付当次考核总额的80%为服务费；考核分数79-70分，支付当次考核总额的70%为服务费；考核分数69-60分，支付当次考核总额的60%为服务费。若不能满足本招标文件、合同相关条款规定服务要求，且考核低于60分的，采购人将扣除本期服务费，并将签订合同时支付的合同总金额的30.00%预付款退还至采购人。</w:t>
      </w:r>
    </w:p>
    <w:p>
      <w:pPr>
        <w:pStyle w:val="null3"/>
        <w:ind w:firstLine="480"/>
        <w:jc w:val="left"/>
      </w:pPr>
      <w:r>
        <w:rPr>
          <w:rFonts w:ascii="宋体" w:hAnsi="宋体" w:cs="宋体" w:eastAsia="宋体"/>
          <w:sz w:val="24"/>
          <w:color w:val="000000"/>
          <w:shd w:fill="FFFFFF" w:val="clear"/>
        </w:rPr>
        <w:t>9.3</w:t>
      </w:r>
      <w:r>
        <w:rPr>
          <w:rFonts w:ascii="宋体" w:hAnsi="宋体" w:cs="宋体" w:eastAsia="宋体"/>
          <w:sz w:val="24"/>
          <w:color w:val="000000"/>
          <w:shd w:fill="FFFFFF" w:val="clear"/>
        </w:rPr>
        <w:t>考核单位：福建省交通信息通信与应急处置中心</w:t>
      </w:r>
    </w:p>
    <w:p>
      <w:pPr>
        <w:pStyle w:val="null3"/>
        <w:ind w:firstLine="480"/>
        <w:jc w:val="left"/>
      </w:pPr>
      <w:r>
        <w:rPr>
          <w:rFonts w:ascii="宋体" w:hAnsi="宋体" w:cs="宋体" w:eastAsia="宋体"/>
          <w:sz w:val="24"/>
          <w:color w:val="000000"/>
          <w:shd w:fill="FFFFFF" w:val="clear"/>
        </w:rPr>
        <w:t>9.4</w:t>
      </w:r>
      <w:r>
        <w:rPr>
          <w:rFonts w:ascii="宋体" w:hAnsi="宋体" w:cs="宋体" w:eastAsia="宋体"/>
          <w:sz w:val="24"/>
          <w:color w:val="000000"/>
          <w:shd w:fill="FFFFFF" w:val="clear"/>
        </w:rPr>
        <w:t>被考核单位：中标人单位</w:t>
      </w:r>
    </w:p>
    <w:p>
      <w:pPr>
        <w:pStyle w:val="null3"/>
        <w:ind w:firstLine="480"/>
        <w:jc w:val="left"/>
      </w:pPr>
      <w:r>
        <w:rPr>
          <w:rFonts w:ascii="宋体" w:hAnsi="宋体" w:cs="宋体" w:eastAsia="宋体"/>
          <w:sz w:val="24"/>
          <w:color w:val="000000"/>
          <w:shd w:fill="FFFFFF" w:val="clear"/>
        </w:rPr>
        <w:t>9.5</w:t>
      </w:r>
      <w:r>
        <w:rPr>
          <w:rFonts w:ascii="宋体" w:hAnsi="宋体" w:cs="宋体" w:eastAsia="宋体"/>
          <w:sz w:val="24"/>
          <w:color w:val="000000"/>
          <w:shd w:fill="FFFFFF" w:val="clear"/>
        </w:rPr>
        <w:t>由福建省交通信息通信与应急处置中心结合项目工作实际进行考核。</w:t>
      </w:r>
    </w:p>
    <w:p>
      <w:pPr>
        <w:pStyle w:val="null3"/>
        <w:ind w:firstLine="480"/>
        <w:jc w:val="center"/>
      </w:pPr>
      <w:r>
        <w:rPr>
          <w:rFonts w:ascii="宋体" w:hAnsi="宋体" w:cs="宋体" w:eastAsia="宋体"/>
          <w:sz w:val="24"/>
          <w:color w:val="000000"/>
          <w:shd w:fill="FFFFFF" w:val="clear"/>
        </w:rPr>
        <w:t>表</w:t>
      </w:r>
      <w:r>
        <w:rPr>
          <w:rFonts w:ascii="宋体" w:hAnsi="宋体" w:cs="宋体" w:eastAsia="宋体"/>
          <w:sz w:val="24"/>
          <w:color w:val="000000"/>
          <w:shd w:fill="FFFFFF" w:val="clear"/>
        </w:rPr>
        <w:t>9-1</w:t>
      </w:r>
      <w:r>
        <w:rPr>
          <w:rFonts w:ascii="宋体" w:hAnsi="宋体" w:cs="宋体" w:eastAsia="宋体"/>
          <w:sz w:val="24"/>
          <w:color w:val="000000"/>
          <w:shd w:fill="FFFFFF" w:val="clear"/>
        </w:rPr>
        <w:t>日常考核评分表</w:t>
      </w:r>
    </w:p>
    <w:tbl>
      <w:tblPr>
        <w:tblW w:w="0" w:type="auto"/>
        <w:tblBorders>
          <w:top w:val="none" w:color="000000" w:sz="4"/>
          <w:left w:val="none" w:color="000000" w:sz="4"/>
          <w:bottom w:val="none" w:color="000000" w:sz="4"/>
          <w:right w:val="none" w:color="000000" w:sz="4"/>
          <w:insideH w:val="none"/>
          <w:insideV w:val="none"/>
        </w:tblBorders>
      </w:tblPr>
      <w:tblGrid>
        <w:gridCol w:w="946"/>
        <w:gridCol w:w="1271"/>
        <w:gridCol w:w="5045"/>
        <w:gridCol w:w="1014"/>
      </w:tblGrid>
      <w:tr>
        <w:tc>
          <w:tcPr>
            <w:tcW w:type="dxa" w:w="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类别</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服务内容</w:t>
            </w:r>
          </w:p>
        </w:tc>
        <w:tc>
          <w:tcPr>
            <w:tcW w:type="dxa" w:w="5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color w:val="000000"/>
                <w:shd w:fill="FFFFFF" w:val="clear"/>
              </w:rPr>
              <w:t>评估标准</w:t>
            </w:r>
          </w:p>
        </w:tc>
        <w:tc>
          <w:tcPr>
            <w:tcW w:type="dxa" w:w="1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总分</w:t>
            </w:r>
          </w:p>
        </w:tc>
      </w:tr>
      <w:tr>
        <w:tc>
          <w:tcPr>
            <w:tcW w:type="dxa" w:w="9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shd w:fill="FFFFFF" w:val="clear"/>
              </w:rPr>
              <w:t>现场服务</w:t>
            </w:r>
          </w:p>
        </w:tc>
        <w:tc>
          <w:tcPr>
            <w:tcW w:type="dxa" w:w="1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color w:val="000000"/>
                <w:shd w:fill="FFFFFF" w:val="clear"/>
              </w:rPr>
              <w:t>日常工作</w:t>
            </w: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要求进行的系统运维工作，而运维方人员未按计划完成，或实施质量未达要求的，由中心根据实际完成情况进行扣分，每次扣</w:t>
            </w:r>
            <w:r>
              <w:rPr>
                <w:rFonts w:ascii="宋体" w:hAnsi="宋体" w:cs="宋体" w:eastAsia="宋体"/>
                <w:sz w:val="24"/>
                <w:color w:val="000000"/>
                <w:shd w:fill="FFFFFF" w:val="clear"/>
              </w:rPr>
              <w:t>5分；（具体工作内容及完成要求以邮件为准）；在实施过程中若遇到非运维方能解决的困难，则需向中心反馈，并申请延长故障解决实际，否则视为未按计划完成工作。</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30</w:t>
            </w: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single" w:color="000000" w:sz="4"/>
              <w:bottom w:val="single" w:color="000000" w:sz="4"/>
              <w:right w:val="single" w:color="000000" w:sz="4"/>
            </w:tcBorders>
          </w:tcP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未能在规定时间内按中心要求提交工作报告、巡检报告等相关服务报告的，每次扣</w:t>
            </w:r>
            <w:r>
              <w:rPr>
                <w:rFonts w:ascii="宋体" w:hAnsi="宋体" w:cs="宋体" w:eastAsia="宋体"/>
                <w:sz w:val="24"/>
                <w:color w:val="000000"/>
                <w:shd w:fill="FFFFFF" w:val="clear"/>
              </w:rPr>
              <w:t>5分。</w:t>
            </w:r>
          </w:p>
        </w:tc>
        <w:tc>
          <w:tcPr>
            <w:tcW w:type="dxa" w:w="1014"/>
            <w:vMerge/>
            <w:tcBorders>
              <w:top w:val="none" w:color="000000" w:sz="4"/>
              <w:left w:val="singl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single" w:color="000000" w:sz="4"/>
              <w:bottom w:val="single" w:color="000000" w:sz="4"/>
              <w:right w:val="single" w:color="000000" w:sz="4"/>
            </w:tcBorders>
          </w:tcP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若由于运维方人员未及时发现故障隐患最终导致故障爆发的，视故障严重程度，每次扣</w:t>
            </w:r>
            <w:r>
              <w:rPr>
                <w:rFonts w:ascii="宋体" w:hAnsi="宋体" w:cs="宋体" w:eastAsia="宋体"/>
                <w:sz w:val="24"/>
                <w:color w:val="000000"/>
                <w:shd w:fill="FFFFFF" w:val="clear"/>
              </w:rPr>
              <w:t>5分。</w:t>
            </w:r>
          </w:p>
        </w:tc>
        <w:tc>
          <w:tcPr>
            <w:tcW w:type="dxa" w:w="1014"/>
            <w:vMerge/>
            <w:tcBorders>
              <w:top w:val="none" w:color="000000" w:sz="4"/>
              <w:left w:val="singl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人员管理</w:t>
            </w: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中心对运维方人员不满意并提出投诉，每次扣</w:t>
            </w:r>
            <w:r>
              <w:rPr>
                <w:rFonts w:ascii="宋体" w:hAnsi="宋体" w:cs="宋体" w:eastAsia="宋体"/>
                <w:sz w:val="24"/>
                <w:color w:val="000000"/>
                <w:shd w:fill="FFFFFF" w:val="clear"/>
              </w:rPr>
              <w:t>20</w:t>
            </w:r>
            <w:r>
              <w:rPr>
                <w:rFonts w:ascii="宋体" w:hAnsi="宋体" w:cs="宋体" w:eastAsia="宋体"/>
                <w:sz w:val="24"/>
                <w:color w:val="000000"/>
                <w:shd w:fill="FFFFFF" w:val="clear"/>
              </w:rPr>
              <w:t>分。</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20</w:t>
            </w:r>
          </w:p>
        </w:tc>
      </w:tr>
      <w:tr>
        <w:tc>
          <w:tcPr>
            <w:tcW w:type="dxa" w:w="946"/>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应急管理</w:t>
            </w: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35</w:t>
            </w: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single" w:color="000000" w:sz="4"/>
              <w:bottom w:val="single" w:color="000000" w:sz="4"/>
              <w:right w:val="single" w:color="000000" w:sz="4"/>
            </w:tcBorders>
          </w:tcP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type="dxa" w:w="1014"/>
            <w:vMerge/>
            <w:tcBorders>
              <w:top w:val="none" w:color="000000" w:sz="4"/>
              <w:left w:val="singl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single" w:color="000000" w:sz="4"/>
              <w:bottom w:val="single" w:color="000000" w:sz="4"/>
              <w:right w:val="single" w:color="000000" w:sz="4"/>
            </w:tcBorders>
          </w:tcP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type="dxa" w:w="1014"/>
            <w:vMerge/>
            <w:tcBorders>
              <w:top w:val="none" w:color="000000" w:sz="4"/>
              <w:left w:val="singl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single" w:color="000000" w:sz="4"/>
              <w:bottom w:val="single" w:color="000000" w:sz="4"/>
              <w:right w:val="single" w:color="000000" w:sz="4"/>
            </w:tcBorders>
          </w:tcP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I级情况。属于紧急问题；其具体现象为：系统崩溃导致业务停止、数据丢失。要求在30分钟响应，2小时内提交故障处理方案，12小时内完成故障处理。运维方未及时完成的，每次扣15分；</w:t>
            </w:r>
          </w:p>
        </w:tc>
        <w:tc>
          <w:tcPr>
            <w:tcW w:type="dxa" w:w="1014"/>
            <w:vMerge/>
            <w:tcBorders>
              <w:top w:val="none" w:color="000000" w:sz="4"/>
              <w:left w:val="singl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工作态度</w:t>
            </w:r>
          </w:p>
        </w:tc>
        <w:tc>
          <w:tcPr>
            <w:tcW w:type="dxa" w:w="5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color w:val="000000"/>
                <w:shd w:fill="FFFFFF" w:val="clear"/>
              </w:rPr>
              <w:t>对交办的合理任务应执行</w:t>
            </w:r>
            <w:r>
              <w:rPr>
                <w:rFonts w:ascii="宋体" w:hAnsi="宋体" w:cs="宋体" w:eastAsia="宋体"/>
                <w:sz w:val="24"/>
                <w:color w:val="000000"/>
                <w:shd w:fill="FFFFFF" w:val="clear"/>
              </w:rPr>
              <w:t>,有较强的工作积极性与良好的工作态度，发现一次合理任务拒不执行，一次扣10分；发现一次工作推迟（属运维方原因），一次扣5分；</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15</w:t>
            </w:r>
          </w:p>
        </w:tc>
      </w:tr>
    </w:tbl>
    <w:p>
      <w:pPr>
        <w:pStyle w:val="null3"/>
        <w:ind w:firstLine="480"/>
        <w:jc w:val="left"/>
      </w:pPr>
      <w:r>
        <w:rPr/>
        <w:t xml:space="preserve"> </w:t>
      </w:r>
    </w:p>
    <w:p>
      <w:pPr>
        <w:pStyle w:val="null3"/>
        <w:ind w:firstLine="420"/>
        <w:jc w:val="left"/>
      </w:pPr>
      <w:r>
        <w:rPr>
          <w:rFonts w:ascii="宋体" w:hAnsi="宋体" w:cs="宋体" w:eastAsia="宋体"/>
          <w:sz w:val="24"/>
          <w:b/>
        </w:rPr>
        <w:t>★</w:t>
      </w:r>
      <w:r>
        <w:rPr>
          <w:rFonts w:ascii="宋体" w:hAnsi="宋体" w:cs="宋体" w:eastAsia="宋体"/>
          <w:sz w:val="24"/>
          <w:color w:val="000000"/>
          <w:shd w:fill="FFFFFF" w:val="clear"/>
        </w:rPr>
        <w:t>10、违约责任</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1）因中标人原因造成采购合同无法按时签订，视为中标人违约，中标人违约对采购人造成的损失的，需另行支付相应的赔偿。</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2）在签定采购合同之后，中标人要求解除合同的，视为中标人违约，对采购人造成的损失的，中标人需支付相应的赔偿。</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3）在签定采购合同后，中标人未按合同规定提供服务或履行其义务的（经采购人书面通知五个工作日内仍未响应），视为中标人违约，采购人有权提前解除合同，如中标人已提供备品备件服务，则采购人按实结算备品备件服务部分金额，对采购人造成其他损失的，另需支付相应的赔偿。</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4）在签定采购合同之后，若中标人委派的项目团队实施人员与投标时配置人员不一致，视为中标人违约，采购人有权单方面解除合同，给采购人造成损失的，需另行赔偿并负相关责任，其中产生的相关费用由中标人自行承担。</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5）因中标人原因发生重大质量事故，除依约承担赔偿责任外，还将按有关质量管理办法规定执行。同时，采购人有权保留更换中标人的权利，并报相关行政主管部门处罚。</w:t>
      </w:r>
    </w:p>
    <w:p>
      <w:pPr>
        <w:pStyle w:val="null3"/>
        <w:ind w:firstLine="420"/>
        <w:jc w:val="left"/>
      </w:pPr>
      <w:r>
        <w:rPr>
          <w:rFonts w:ascii="宋体" w:hAnsi="宋体" w:cs="宋体" w:eastAsia="宋体"/>
          <w:sz w:val="24"/>
          <w:color w:val="000000"/>
          <w:shd w:fill="FFFFFF" w:val="clear"/>
        </w:rPr>
        <w:t>（</w:t>
      </w:r>
      <w:r>
        <w:rPr>
          <w:rFonts w:ascii="宋体" w:hAnsi="宋体" w:cs="宋体" w:eastAsia="宋体"/>
          <w:sz w:val="24"/>
          <w:color w:val="000000"/>
          <w:shd w:fill="FFFFFF" w:val="clear"/>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7）在明确违约责任后，中标人应在接到书面通知书起七天内支付违约金、赔偿金等。</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二-9中小企业声明函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二-12其他资格证明文件（若有）</w:t>
      </w:r>
    </w:p>
    <w:p>
      <w:pPr>
        <w:pStyle w:val="null3"/>
        <w:ind w:firstLine="960"/>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[350001]HYG[GK]2024008</w:t>
      </w:r>
    </w:p>
    <w:p>
      <w:pPr>
        <w:pStyle w:val="null3"/>
        <w:jc w:val="left"/>
      </w:pPr>
      <w:r>
        <w:rPr/>
        <w:t>项目名称：</w:t>
      </w:r>
      <w:r>
        <w:rPr/>
        <w:t>2024-2025年福建省交通运输数据资源管理服务及厅数据资源汇聚平台运维项目</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2024-2025年福建省交通运输数据资源管理服务及厅数据资源汇聚平台运维项目</w:t>
            </w:r>
          </w:p>
        </w:tc>
        <w:tc>
          <w:tcPr>
            <w:tcW w:type="dxa" w:w="1384"/>
          </w:tcPr>
          <w:p>
            <w:pPr>
              <w:pStyle w:val="null3"/>
              <w:jc w:val="left"/>
            </w:pPr>
            <w:r>
              <w:rPr/>
              <w:t xml:space="preserve"> 项</w:t>
            </w:r>
          </w:p>
        </w:tc>
        <w:tc>
          <w:tcPr>
            <w:tcW w:type="dxa" w:w="1384"/>
          </w:tcPr>
          <w:p>
            <w:pPr>
              <w:pStyle w:val="null3"/>
              <w:jc w:val="left"/>
            </w:pPr>
            <w:r>
              <w:rPr/>
              <w:t xml:space="preserve"> 560000.00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[350001]HYG[GK]2024008</w:t>
      </w:r>
    </w:p>
    <w:p>
      <w:pPr>
        <w:pStyle w:val="null3"/>
        <w:jc w:val="left"/>
      </w:pPr>
      <w:r>
        <w:rPr/>
        <w:t>项目名称：</w:t>
      </w:r>
      <w:r>
        <w:rPr/>
        <w:t>2024-2025年福建省交通运输数据资源管理服务及厅数据资源汇聚平台运维项目</w:t>
      </w:r>
    </w:p>
    <w:p>
      <w:pPr>
        <w:pStyle w:val="null3"/>
        <w:jc w:val="left"/>
      </w:pPr>
      <w:r>
        <w:rPr/>
        <w:t xml:space="preserve"> 2024-2025年福建省交通运输数据资源管理服务及厅数据资源汇聚平台运维项目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2024-2025年福建省交通运输数据资源管理服务及厅数据资源汇聚平台运维项目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560000.00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