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jc w:val="center"/>
        <w:outlineLvl w:val="0"/>
      </w:pPr>
      <w:r>
        <w:rPr>
          <w:b/>
          <w:sz w:val="48"/>
        </w:rPr>
        <w:t>福建省政府采购</w:t>
      </w:r>
    </w:p>
    <w:p>
      <w:pPr>
        <w:pStyle w:val="4"/>
        <w:jc w:val="center"/>
        <w:outlineLvl w:val="0"/>
      </w:pPr>
      <w:r>
        <w:rPr>
          <w:b/>
          <w:sz w:val="48"/>
        </w:rPr>
        <w:t>货物和服务项目</w:t>
      </w:r>
    </w:p>
    <w:p>
      <w:pPr>
        <w:pStyle w:val="4"/>
        <w:jc w:val="center"/>
        <w:outlineLvl w:val="0"/>
      </w:pPr>
      <w:r>
        <w:rPr>
          <w:b/>
          <w:sz w:val="48"/>
        </w:rPr>
        <w:t>公开招标文件</w:t>
      </w:r>
    </w:p>
    <w:p>
      <w:pPr>
        <w:pStyle w:val="4"/>
        <w:jc w:val="center"/>
        <w:outlineLvl w:val="2"/>
      </w:pPr>
      <w:r>
        <w:rPr>
          <w:b/>
          <w:sz w:val="28"/>
        </w:rPr>
        <w:t>项目名称：福建省交通信息通信与应急处置中心云安全服务项目</w:t>
      </w:r>
    </w:p>
    <w:p>
      <w:pPr>
        <w:pStyle w:val="4"/>
        <w:jc w:val="center"/>
        <w:outlineLvl w:val="2"/>
      </w:pPr>
      <w:r>
        <w:rPr>
          <w:b/>
          <w:sz w:val="28"/>
        </w:rPr>
        <w:t>备案编号：CGXM-2024-350001-01055[2024]02330</w:t>
      </w:r>
    </w:p>
    <w:p>
      <w:pPr>
        <w:pStyle w:val="4"/>
        <w:jc w:val="center"/>
        <w:outlineLvl w:val="2"/>
      </w:pPr>
      <w:r>
        <w:rPr>
          <w:b/>
          <w:sz w:val="28"/>
        </w:rPr>
        <w:t>项目编号：[350001]FJHYJT[GK]2024005</w:t>
      </w:r>
      <w:bookmarkStart w:id="0" w:name="_GoBack"/>
      <w:bookmarkEnd w:id="0"/>
    </w:p>
    <w:p>
      <w:pPr>
        <w:pStyle w:val="4"/>
        <w:jc w:val="center"/>
        <w:outlineLvl w:val="2"/>
      </w:pPr>
      <w:r>
        <w:rPr>
          <w:b/>
          <w:sz w:val="28"/>
        </w:rPr>
        <w:t>采购人：福建省交通信息通信与应急处置中心</w:t>
      </w:r>
    </w:p>
    <w:p>
      <w:pPr>
        <w:pStyle w:val="4"/>
        <w:jc w:val="center"/>
        <w:outlineLvl w:val="2"/>
      </w:pPr>
      <w:r>
        <w:rPr>
          <w:b/>
          <w:sz w:val="28"/>
        </w:rPr>
        <w:t>代理机构：福建宏业交通服务有限公司</w:t>
      </w:r>
    </w:p>
    <w:p>
      <w:pPr>
        <w:pStyle w:val="4"/>
        <w:jc w:val="center"/>
        <w:outlineLvl w:val="2"/>
      </w:pPr>
      <w:r>
        <w:rPr>
          <w:b/>
          <w:sz w:val="28"/>
        </w:rPr>
        <w:t>编制时间：2024年05月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福建宏业交通服务有限公司 采用公开招标方式组织 福建省交通信息通信与应急处置中心云安全服务项目 （以下简称：“本项目”）的政府采购活动，现邀请供应商参加投标。</w:t>
      </w:r>
    </w:p>
    <w:p>
      <w:pPr>
        <w:pStyle w:val="4"/>
        <w:ind w:firstLine="480"/>
        <w:jc w:val="left"/>
        <w:outlineLvl w:val="2"/>
      </w:pPr>
      <w:r>
        <w:rPr>
          <w:b/>
          <w:sz w:val="28"/>
        </w:rPr>
        <w:t>1、备案编号：CGXM-2024-350001-01055[2024]02330</w:t>
      </w:r>
    </w:p>
    <w:p>
      <w:pPr>
        <w:pStyle w:val="4"/>
        <w:ind w:firstLine="480"/>
        <w:jc w:val="left"/>
        <w:outlineLvl w:val="2"/>
      </w:pPr>
      <w:r>
        <w:rPr>
          <w:b/>
          <w:sz w:val="28"/>
        </w:rPr>
        <w:t>2、项目编号：[350001]FJHYJT[GK]2024005</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进口产品：不适用本项目</w:t>
      </w:r>
    </w:p>
    <w:p>
      <w:pPr>
        <w:pStyle w:val="4"/>
        <w:ind w:firstLine="960"/>
        <w:jc w:val="left"/>
      </w:pPr>
      <w:r>
        <w:t>节能产品：不适用本项目</w:t>
      </w:r>
    </w:p>
    <w:p>
      <w:pPr>
        <w:pStyle w:val="4"/>
        <w:ind w:firstLine="960"/>
        <w:jc w:val="left"/>
      </w:pPr>
      <w:r>
        <w:t>环境标志产品：不适用本项目</w:t>
      </w:r>
    </w:p>
    <w:p>
      <w:pPr>
        <w:pStyle w:val="4"/>
        <w:ind w:firstLine="960"/>
        <w:jc w:val="left"/>
      </w:pPr>
      <w:r>
        <w:t>促进中小企业发展的相关政策：</w:t>
      </w:r>
    </w:p>
    <w:p>
      <w:pPr>
        <w:pStyle w:val="4"/>
        <w:ind w:firstLine="960"/>
        <w:jc w:val="left"/>
      </w:pPr>
      <w:r>
        <w:t>采购包1：专门采购包预留</w:t>
      </w:r>
    </w:p>
    <w:p>
      <w:pPr>
        <w:pStyle w:val="4"/>
        <w:jc w:val="left"/>
      </w:pPr>
      <w:r>
        <w:t>面向的企业规模：中小企业</w:t>
      </w:r>
    </w:p>
    <w:p>
      <w:pPr>
        <w:pStyle w:val="4"/>
        <w:jc w:val="left"/>
      </w:pPr>
      <w:r>
        <w:t>预留形式：专门采购包预留</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根据（财库〔2020〕46号）规定，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软件和信息技术服务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林福新</w:t>
      </w:r>
    </w:p>
    <w:p>
      <w:pPr>
        <w:pStyle w:val="4"/>
        <w:jc w:val="left"/>
      </w:pPr>
      <w:r>
        <w:t xml:space="preserve"> 联系电话： 0591-87077967</w:t>
      </w:r>
    </w:p>
    <w:p>
      <w:pPr>
        <w:pStyle w:val="4"/>
        <w:ind w:firstLine="480"/>
        <w:jc w:val="left"/>
        <w:outlineLvl w:val="2"/>
      </w:pPr>
      <w:r>
        <w:rPr>
          <w:b/>
          <w:sz w:val="28"/>
        </w:rPr>
        <w:t>12、代理机构：福建宏业交通服务有限公司</w:t>
      </w:r>
    </w:p>
    <w:p>
      <w:pPr>
        <w:pStyle w:val="4"/>
        <w:ind w:firstLine="960"/>
        <w:jc w:val="both"/>
      </w:pPr>
      <w:r>
        <w:t xml:space="preserve"> 地址： 福建省福州市晋安区岳峰镇金鸡山路27号</w:t>
      </w:r>
    </w:p>
    <w:p>
      <w:pPr>
        <w:pStyle w:val="4"/>
        <w:jc w:val="both"/>
      </w:pPr>
      <w:r>
        <w:t xml:space="preserve"> 邮编： 350000</w:t>
      </w:r>
    </w:p>
    <w:p>
      <w:pPr>
        <w:pStyle w:val="4"/>
        <w:jc w:val="both"/>
      </w:pPr>
      <w:r>
        <w:t xml:space="preserve"> 联系人： 林鹰、戴加袁</w:t>
      </w:r>
    </w:p>
    <w:p>
      <w:pPr>
        <w:pStyle w:val="4"/>
        <w:jc w:val="both"/>
      </w:pPr>
      <w:r>
        <w:t xml:space="preserve"> 联系电话： 19959389219、0591-87078518</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福建宏业交通服务有限公司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1,358,000.00</w:t>
      </w:r>
    </w:p>
    <w:p>
      <w:pPr>
        <w:pStyle w:val="4"/>
        <w:jc w:val="left"/>
      </w:pPr>
      <w:r>
        <w:t>采购包最高限价（元）: 1,358,000.00</w:t>
      </w:r>
    </w:p>
    <w:p>
      <w:pPr>
        <w:pStyle w:val="4"/>
        <w:jc w:val="left"/>
      </w:pPr>
      <w:r>
        <w:t>采购包保证金金额（元）: 13,580.00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福建省交通信息通信与应急处置中心云安全服务项目</w:t>
            </w:r>
          </w:p>
        </w:tc>
        <w:tc>
          <w:tcPr>
            <w:tcW w:w="1187" w:type="dxa"/>
          </w:tcPr>
          <w:p>
            <w:pPr>
              <w:pStyle w:val="4"/>
              <w:jc w:val="right"/>
            </w:pPr>
            <w:r>
              <w:t>1.00</w:t>
            </w:r>
          </w:p>
        </w:tc>
        <w:tc>
          <w:tcPr>
            <w:tcW w:w="1187" w:type="dxa"/>
          </w:tcPr>
          <w:p>
            <w:pPr>
              <w:pStyle w:val="4"/>
              <w:jc w:val="right"/>
            </w:pPr>
            <w:r>
              <w:t>1,358,000.00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采购包1：3名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无</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福建宏业交通服务有限公司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本项目以合同包中标金额为基数，采用差额定率累进法收费标准计算，中标金额在100万元（含）以下的，按1.2%计算收取，中标金额在100-500万以内的按0.75%计算收取；不足2000元按2000元计取。招标代理服务费缴交账户名称：福建宏业交通服务有限公司、开户行：招商银行东水支行、账号：674580075710001。</w:t>
            </w:r>
          </w:p>
          <w:p>
            <w:pPr>
              <w:pStyle w:val="4"/>
              <w:jc w:val="left"/>
            </w:pPr>
            <w:r>
              <w:t xml:space="preserve"> (2)其他：</w:t>
            </w:r>
          </w:p>
          <w:p>
            <w:pPr>
              <w:pStyle w:val="4"/>
              <w:jc w:val="left"/>
            </w:pPr>
            <w:r>
              <w:t>1、投标人在递交质疑函时除提供本招标文件规定的相关材料外，质疑受理的其他要求：①质疑人为法人或其他组织的，质疑函需加盖质疑人单位公章；若本项目接受自然人投标且质疑人为自然人的，质疑函需质疑人本人签名。否则质疑将不予受理。②在法定质疑期内质疑人须一次性提出针对同一采购程序环节的质疑，二（多）次质疑不予受理。③质疑人递交质疑函时还应出具质疑人已获取本项目招标文件的相关截图复印件，否则递交的质疑函将不予受理。④接收质疑函的方式、联系部门、联系电话和通讯地址：1)接收质疑函的方式：书面原件形式；2)接收质疑函的联系部门：招标代理事务部；3)接收质疑函的联系方式：联系人：林鹰，联系电话：0591-87078518；4)接收质疑函的通讯地址：福州市晋安区金鸡山路27号2号楼二层。2、投标将被拒绝、无效投标（或投标无效）及废标条款：①出现第二章投标人须知前附表中表2规定的无效投标（或投标无效）、投标将被拒绝的；②出现第三章投标人须知第9、10.6、10.8、10.9、10.12条款中无效投标（或投标无效）规定的；③出现第四章“一、资格审查”与“二、评标”中无效投标（或投标无效）或废标规定的（资格及符合性审查不合格的情形）；④出现第五章招标内容及要求中“无效投标（或投标无效）”；⑤出现第七章投标文件格式中无效投标（或投标无效）规定的情形。⑥投标文件中的上一年度的财务报告是指2022年度或2023年度的财务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电子化招标、非招标项目视为串通情形的认定及处理的相关条款详见《关于福建省财政厅关于电子化政府采购项目中视为串标情形认定与处理的指导意见》（闽财购〔2018〕30号）文件。</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w:t>
      </w:r>
      <w:r>
        <w:rPr>
          <w:rFonts w:hint="eastAsia"/>
          <w:lang w:eastAsia="zh-CN"/>
        </w:rPr>
        <w:t>法》</w:t>
      </w:r>
      <w:r>
        <w:t>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福建宏业交通服务有限公司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福建宏业交通服务有限公司 将在投标截止时间至少15个日历日前，在招标文件载明的指定媒体以更正公告的形式发布澄清或修改的内容。不足15个日历日的， 福建宏业交通服务有限公司 将顺延投标截止时间及开标时间， 福建宏业交通服务有限公司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福建宏业交通服务有限公司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福建宏业交通服务有限公司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福建宏业交通服务有限公司 通知所有潜在投标人的书面形式。</w:t>
      </w:r>
    </w:p>
    <w:p>
      <w:pPr>
        <w:pStyle w:val="4"/>
        <w:ind w:firstLine="480"/>
        <w:jc w:val="both"/>
      </w:pPr>
      <w:r>
        <w:t>8、终止公告</w:t>
      </w:r>
    </w:p>
    <w:p>
      <w:pPr>
        <w:pStyle w:val="4"/>
        <w:ind w:firstLine="480"/>
        <w:jc w:val="both"/>
      </w:pPr>
      <w:r>
        <w:t>8.1若出现因重大变故导致采购任务取消情形， 福建宏业交通服务有限公司 可终止招标并发布终止公告。</w:t>
      </w:r>
    </w:p>
    <w:p>
      <w:pPr>
        <w:pStyle w:val="4"/>
        <w:ind w:firstLine="480"/>
        <w:jc w:val="both"/>
      </w:pPr>
      <w:r>
        <w:t>8.2终止公告作为 福建宏业交通服务有限公司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福建宏业交通服务有限公司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福建宏业交通服务有限公司 可于投标有效期届满之前书面要求投标人延长投标有效期，投标人应在 福建宏业交通服务有限公司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福建宏业交通服务有限公司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福建宏业交通服务有限公司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福建宏业交通服务有限公司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福建宏业交通服务有限公司 将在招标文件载明的开标时间及地点主持召开开标会，并邀请投标人参加。</w:t>
      </w:r>
    </w:p>
    <w:p>
      <w:pPr>
        <w:pStyle w:val="4"/>
        <w:ind w:firstLine="480"/>
        <w:jc w:val="both"/>
      </w:pPr>
      <w:r>
        <w:t>11.2开标会的主持人、唱标人、记录人及其他工作人员（若有）均由 福建宏业交通服务有限公司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福建宏业交通服务有限公司 提出任何疑义或要求（包括质疑）。</w:t>
      </w:r>
    </w:p>
    <w:p>
      <w:pPr>
        <w:pStyle w:val="4"/>
        <w:ind w:firstLine="480"/>
        <w:jc w:val="both"/>
      </w:pPr>
      <w:r>
        <w:t>11.5投标截止时间后，参加投标的投标人不足三家的，不进行开标。同时，本次采购活动结束， 福建宏业交通服务有限公司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福建宏业交通服务有限公司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福建宏业交通服务有限公司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福建宏业交通服务有限公司 提出询问， 福建宏业交通服务有限公司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福建宏业交通服务有限公司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福建宏业交通服务有限公司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福建宏业交通服务有限公司派出的工作人员至少1人，其余1人可为采购人代表或福建宏业交通服务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截止当日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根据（财库〔2020〕46号）规定，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软件和信息技术服务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资格及资信证明部分中不得出现报价部分的全部或部分的投标报价信息。</w:t>
            </w:r>
          </w:p>
        </w:tc>
      </w:tr>
    </w:tbl>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福建宏业交通服务有限公司 统一对外发布。</w:t>
      </w:r>
    </w:p>
    <w:p>
      <w:pPr>
        <w:pStyle w:val="4"/>
        <w:ind w:firstLine="480"/>
        <w:jc w:val="both"/>
      </w:pPr>
      <w:r>
        <w:t>3、资格审查合格的投标人不足三家的，不进行评标。同时，本次采购活动结束， 福建宏业交通服务有限公司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福建宏业交通服务有限公司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福建宏业交通服务有限公司 统一对外发布。</w:t>
      </w:r>
    </w:p>
    <w:p>
      <w:pPr>
        <w:pStyle w:val="4"/>
        <w:ind w:firstLine="480"/>
        <w:jc w:val="both"/>
      </w:pPr>
      <w:r>
        <w:t>②对 福建宏业交通服务有限公司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在技术评审时，上传的内容中出现报价部分的全部或部分的投标报价信息；不符合招标文件中规定的其它实质性要求的条款。</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在商务评审时，上传的内容中出现报价部分的全部或部分的投标报价信息；“三、商务条件”有负偏离的。</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福建宏业交通服务有限公司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价格项（F1×A1）满分为15.00分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价格扣除的规则如下：</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both"/>
            </w:pPr>
            <w:r>
              <w:t xml:space="preserve"> 项目</w:t>
            </w:r>
          </w:p>
        </w:tc>
        <w:tc>
          <w:tcPr>
            <w:tcW w:w="1661" w:type="dxa"/>
          </w:tcPr>
          <w:p>
            <w:pPr>
              <w:pStyle w:val="4"/>
              <w:jc w:val="both"/>
            </w:pPr>
            <w:r>
              <w:t xml:space="preserve"> 适用对象</w:t>
            </w:r>
          </w:p>
        </w:tc>
        <w:tc>
          <w:tcPr>
            <w:tcW w:w="831" w:type="dxa"/>
          </w:tcPr>
          <w:p>
            <w:pPr>
              <w:pStyle w:val="4"/>
              <w:jc w:val="both"/>
            </w:pPr>
            <w:r>
              <w:t xml:space="preserve"> 比例</w:t>
            </w:r>
          </w:p>
        </w:tc>
        <w:tc>
          <w:tcPr>
            <w:tcW w:w="4153" w:type="dxa"/>
          </w:tcPr>
          <w:p>
            <w:pPr>
              <w:pStyle w:val="4"/>
              <w:jc w:val="both"/>
            </w:pPr>
            <w:r>
              <w:t xml:space="preserve"> 描述</w:t>
            </w:r>
          </w:p>
        </w:tc>
      </w:tr>
    </w:tbl>
    <w:p>
      <w:pPr>
        <w:pStyle w:val="4"/>
        <w:jc w:val="both"/>
      </w:pPr>
      <w:r>
        <w:t>优先类节能产品、环境标志产品的价格扣除规则如下</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1038"/>
        <w:gridCol w:w="519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both"/>
            </w:pPr>
            <w:r>
              <w:t xml:space="preserve"> 项目</w:t>
            </w:r>
          </w:p>
        </w:tc>
        <w:tc>
          <w:tcPr>
            <w:tcW w:w="1038" w:type="dxa"/>
          </w:tcPr>
          <w:p>
            <w:pPr>
              <w:pStyle w:val="4"/>
              <w:jc w:val="both"/>
            </w:pPr>
            <w:r>
              <w:t xml:space="preserve"> 比例</w:t>
            </w:r>
          </w:p>
        </w:tc>
        <w:tc>
          <w:tcPr>
            <w:tcW w:w="5191" w:type="dxa"/>
          </w:tcPr>
          <w:p>
            <w:pPr>
              <w:pStyle w:val="4"/>
              <w:jc w:val="both"/>
            </w:pPr>
            <w:r>
              <w:t xml:space="preserve"> 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both"/>
            </w:pPr>
            <w:r>
              <w:t>节能、环境标志产品</w:t>
            </w:r>
          </w:p>
        </w:tc>
        <w:tc>
          <w:tcPr>
            <w:tcW w:w="1038" w:type="dxa"/>
          </w:tcPr>
          <w:p>
            <w:pPr>
              <w:pStyle w:val="4"/>
              <w:jc w:val="right"/>
            </w:pPr>
            <w:r>
              <w:t>10.00%</w:t>
            </w:r>
          </w:p>
        </w:tc>
        <w:tc>
          <w:tcPr>
            <w:tcW w:w="5191" w:type="dxa"/>
          </w:tcPr>
          <w:p>
            <w:pPr>
              <w:pStyle w:val="4"/>
              <w:jc w:val="both"/>
            </w:pPr>
            <w:r>
              <w:t>本项目为服务项目，不作节能、环境标志产品价格扣除评审，仅作为投标人上传报价部分使用。</w:t>
            </w:r>
          </w:p>
        </w:tc>
      </w:tr>
    </w:tbl>
    <w:p>
      <w:pPr>
        <w:pStyle w:val="4"/>
        <w:jc w:val="both"/>
      </w:pPr>
      <w:r>
        <w:t>其他：无</w:t>
      </w:r>
    </w:p>
    <w:p>
      <w:pPr>
        <w:pStyle w:val="4"/>
        <w:jc w:val="both"/>
      </w:pPr>
      <w:r>
        <w:t>技术项（F2×A2）满分为60.00分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T1</w:t>
            </w:r>
          </w:p>
        </w:tc>
        <w:tc>
          <w:tcPr>
            <w:tcW w:w="831" w:type="dxa"/>
          </w:tcPr>
          <w:p>
            <w:pPr>
              <w:pStyle w:val="4"/>
              <w:jc w:val="right"/>
            </w:pPr>
            <w:r>
              <w:t>34.00</w:t>
            </w:r>
          </w:p>
        </w:tc>
        <w:tc>
          <w:tcPr>
            <w:tcW w:w="4153" w:type="dxa"/>
          </w:tcPr>
          <w:p>
            <w:pPr>
              <w:pStyle w:val="4"/>
              <w:jc w:val="both"/>
            </w:pPr>
            <w:r>
              <w:t>根据投标人对招标文件第五章招标内容及要求“二、技术和服务要求”中的响应情况，由评委进行评议：完全满足招标文件要求的得34分，标注“★”为实质性条款，不允许负偏离，否则按无效标处理；其余指标项（共34项）每负偏离1项扣1分,正偏离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T2</w:t>
            </w:r>
          </w:p>
        </w:tc>
        <w:tc>
          <w:tcPr>
            <w:tcW w:w="831" w:type="dxa"/>
          </w:tcPr>
          <w:p>
            <w:pPr>
              <w:pStyle w:val="4"/>
              <w:jc w:val="right"/>
            </w:pPr>
            <w:r>
              <w:t>2.00</w:t>
            </w:r>
          </w:p>
        </w:tc>
        <w:tc>
          <w:tcPr>
            <w:tcW w:w="4153" w:type="dxa"/>
          </w:tcPr>
          <w:p>
            <w:pPr>
              <w:pStyle w:val="4"/>
              <w:jc w:val="both"/>
            </w:pPr>
            <w:r>
              <w:t>投标人所采用的安全服务工具能够对web源代码进行扫描，检查代码中的网页木马，网页挂马以及网页暗链，并支持自定义规则。提供功能截图证明的得2分，满分2分。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T3</w:t>
            </w:r>
          </w:p>
        </w:tc>
        <w:tc>
          <w:tcPr>
            <w:tcW w:w="831" w:type="dxa"/>
          </w:tcPr>
          <w:p>
            <w:pPr>
              <w:pStyle w:val="4"/>
              <w:jc w:val="right"/>
            </w:pPr>
            <w:r>
              <w:t>2.00</w:t>
            </w:r>
          </w:p>
        </w:tc>
        <w:tc>
          <w:tcPr>
            <w:tcW w:w="4153" w:type="dxa"/>
          </w:tcPr>
          <w:p>
            <w:pPr>
              <w:pStyle w:val="4"/>
              <w:jc w:val="both"/>
            </w:pPr>
            <w:r>
              <w:t>投标人所采用的安全态势感知工具能够通过支持非主流设备的自定义解析接入，支持通过正则表达式、分隔符、key-value等多种方式自动范式化解析，日志范式化字段包括时间、源IP、源端口、源mac、行为、用户名等不少于50种。</w:t>
            </w:r>
            <w:r>
              <w:rPr>
                <w:rFonts w:hint="eastAsia"/>
                <w:lang w:eastAsia="zh-CN"/>
              </w:rPr>
              <w:t>提供</w:t>
            </w:r>
            <w:r>
              <w:t>以上功能第三方检测报告复印件并加盖投标人公章（检测报告上须体现“CMA” 标志）得1分，提供功能截图证明的得1分，满分2分。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T4</w:t>
            </w:r>
          </w:p>
        </w:tc>
        <w:tc>
          <w:tcPr>
            <w:tcW w:w="831" w:type="dxa"/>
          </w:tcPr>
          <w:p>
            <w:pPr>
              <w:pStyle w:val="4"/>
              <w:jc w:val="right"/>
            </w:pPr>
            <w:r>
              <w:t>2.00</w:t>
            </w:r>
          </w:p>
        </w:tc>
        <w:tc>
          <w:tcPr>
            <w:tcW w:w="4153" w:type="dxa"/>
          </w:tcPr>
          <w:p>
            <w:pPr>
              <w:pStyle w:val="4"/>
              <w:jc w:val="both"/>
            </w:pPr>
            <w:r>
              <w:t>投标人所采用的安全态势感知工具能够在异于基准行为出现时进行告警提示，支持告警配置包括告警标题、告警等级、告警源、风险阶段、显示字段、原理、危害、安全建议、规则描述等。提供以上功能第三方检测报告复印件并加盖投标人公章（检测报告上须体现“CMA” 标志）得1分，提供功能截图证明的得1分，满分2分。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T5</w:t>
            </w:r>
          </w:p>
        </w:tc>
        <w:tc>
          <w:tcPr>
            <w:tcW w:w="831" w:type="dxa"/>
          </w:tcPr>
          <w:p>
            <w:pPr>
              <w:pStyle w:val="4"/>
              <w:jc w:val="right"/>
            </w:pPr>
            <w:r>
              <w:t>2.00</w:t>
            </w:r>
          </w:p>
        </w:tc>
        <w:tc>
          <w:tcPr>
            <w:tcW w:w="4153" w:type="dxa"/>
          </w:tcPr>
          <w:p>
            <w:pPr>
              <w:pStyle w:val="4"/>
              <w:jc w:val="both"/>
            </w:pPr>
            <w:r>
              <w:t>投标人所采用的云主机监控服务工具能够监控网页木马(webshell)，模拟黑客利用漏洞入侵应用系统，进行植入网页木马(webshell)等入侵行为，主机安全监控系统应能够发现网页木马并生成相关的告警，并能够查看告警信息和对应的敏感文件内容。提供不少于3张功能截图，功能完全满足得2分，功能部分满足的得1.5分，未提供或不满足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T6</w:t>
            </w:r>
          </w:p>
        </w:tc>
        <w:tc>
          <w:tcPr>
            <w:tcW w:w="831" w:type="dxa"/>
          </w:tcPr>
          <w:p>
            <w:pPr>
              <w:pStyle w:val="4"/>
              <w:jc w:val="right"/>
            </w:pPr>
            <w:r>
              <w:t>2.00</w:t>
            </w:r>
          </w:p>
        </w:tc>
        <w:tc>
          <w:tcPr>
            <w:tcW w:w="4153" w:type="dxa"/>
          </w:tcPr>
          <w:p>
            <w:pPr>
              <w:pStyle w:val="4"/>
              <w:jc w:val="both"/>
            </w:pPr>
            <w:r>
              <w:t>投标人所采用的云主机监控服务工具能展示所有监控主机资产信息，包括：分组/分类、IP地址/MAC、主机代号、标题/备注、主机名、操作系统、修改/锁定/删除。而且能够在主机监控页面上能直观展现告警趋势、监控详情、系统配置监控、采集记录情况。提供不少于3张功能截图。功能完全满足得2分，功能部分满足的得1.5分，未提供或不满足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T7</w:t>
            </w:r>
          </w:p>
        </w:tc>
        <w:tc>
          <w:tcPr>
            <w:tcW w:w="831" w:type="dxa"/>
          </w:tcPr>
          <w:p>
            <w:pPr>
              <w:pStyle w:val="4"/>
              <w:jc w:val="right"/>
            </w:pPr>
            <w:r>
              <w:t>2.00</w:t>
            </w:r>
          </w:p>
        </w:tc>
        <w:tc>
          <w:tcPr>
            <w:tcW w:w="4153" w:type="dxa"/>
          </w:tcPr>
          <w:p>
            <w:pPr>
              <w:pStyle w:val="4"/>
              <w:jc w:val="both"/>
            </w:pPr>
            <w:r>
              <w:t>投标人所采用的安全服务工具能够具备安全感知与运营管理服务能力，具备总览、资产感知、脆弱性感知、事件感知功能和安全报告等功能，在响应处置功能具备工单管理能力，能够定义工单的影响程度、处理人、状态、类型及操作等，同时具备工单统计功能，可以查看及时完成率、及时响应率、个人工单完成情况等。服务工具具有投标人自主知识产权，具备定制化开发功能，提供安全感知相关软件著作权证书复印件的得1分，同时提供软件著作权证书复印件和功能截图证明的得2分，其它情况不得分，满分2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T8</w:t>
            </w:r>
          </w:p>
        </w:tc>
        <w:tc>
          <w:tcPr>
            <w:tcW w:w="831" w:type="dxa"/>
          </w:tcPr>
          <w:p>
            <w:pPr>
              <w:pStyle w:val="4"/>
              <w:jc w:val="right"/>
            </w:pPr>
            <w:r>
              <w:t>3.00</w:t>
            </w:r>
          </w:p>
        </w:tc>
        <w:tc>
          <w:tcPr>
            <w:tcW w:w="4153" w:type="dxa"/>
          </w:tcPr>
          <w:p>
            <w:pPr>
              <w:pStyle w:val="4"/>
              <w:jc w:val="both"/>
            </w:pPr>
            <w:r>
              <w:t>投标人所采用的服务工具，具有风险扫描功能，支持手动导入漏洞、自查漏洞，内置扫描器扫描漏洞，可开启定时任务自动对单位资产漏洞扫描、验证。提供以上功能第三方检测报告复印件并加盖投标人公章作为评分依据（检测报告上须体现“CMA” 标志），全部满足得3分，否则不得分。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T9</w:t>
            </w:r>
          </w:p>
        </w:tc>
        <w:tc>
          <w:tcPr>
            <w:tcW w:w="831" w:type="dxa"/>
          </w:tcPr>
          <w:p>
            <w:pPr>
              <w:pStyle w:val="4"/>
              <w:jc w:val="right"/>
            </w:pPr>
            <w:r>
              <w:t>3.00</w:t>
            </w:r>
          </w:p>
        </w:tc>
        <w:tc>
          <w:tcPr>
            <w:tcW w:w="4153" w:type="dxa"/>
          </w:tcPr>
          <w:p>
            <w:pPr>
              <w:pStyle w:val="4"/>
              <w:jc w:val="both"/>
            </w:pPr>
            <w:r>
              <w:t>投标人所采用的服务工具能够提供自动化渗透测试 ，测试工具完成自动化渗透测试认定。支持常见漏洞探测，至少保护探测SQL注入、XXE、XSS、任意文件下载、任意文件操作、信息泄露、弱口令、本地文件包含、目录遍历、命令执行、错误配置等漏洞;支持部分远程执行、文件上传类漏洞自动化利用；可以自动获取反弹shell或者上传webshell。提供以上功能第三方检测报告复印件并加盖投标人公章作为评分依据（检测报告上须体现“CMA” 标志），全部满足得3分，否则不得分。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T10</w:t>
            </w:r>
          </w:p>
        </w:tc>
        <w:tc>
          <w:tcPr>
            <w:tcW w:w="831" w:type="dxa"/>
          </w:tcPr>
          <w:p>
            <w:pPr>
              <w:pStyle w:val="4"/>
              <w:jc w:val="right"/>
            </w:pPr>
            <w:r>
              <w:t>3.00</w:t>
            </w:r>
          </w:p>
        </w:tc>
        <w:tc>
          <w:tcPr>
            <w:tcW w:w="4153" w:type="dxa"/>
          </w:tcPr>
          <w:p>
            <w:pPr>
              <w:pStyle w:val="4"/>
              <w:jc w:val="both"/>
            </w:pPr>
            <w:r>
              <w:t>投标人所采用的服务工具支持IP地址批量查询，可输入单个IP或批量IP对归属地进行查询，IP与云端的威胁情报库进行联动,能够自动识别挖矿木马、勒索软件、傀儡机、Cobaltstrike等类型的威胁。提供以上功能第三方检测报告复印件并加盖投标人公章作为评分依据（检测报告上须体现“CMA” 标志），全部满足得3分，否则不得分。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T11</w:t>
            </w:r>
          </w:p>
        </w:tc>
        <w:tc>
          <w:tcPr>
            <w:tcW w:w="831" w:type="dxa"/>
          </w:tcPr>
          <w:p>
            <w:pPr>
              <w:pStyle w:val="4"/>
              <w:jc w:val="right"/>
            </w:pPr>
            <w:r>
              <w:t>3.00</w:t>
            </w:r>
          </w:p>
        </w:tc>
        <w:tc>
          <w:tcPr>
            <w:tcW w:w="4153" w:type="dxa"/>
          </w:tcPr>
          <w:p>
            <w:pPr>
              <w:pStyle w:val="4"/>
              <w:jc w:val="both"/>
            </w:pPr>
            <w:r>
              <w:t>投标人在本次服务中所采用的工具有采用在海量 SQL 语句归并技术，提供详细的技术实现方法说明，且该技术实现方法获得政府机构或第三方认证机构网站发表，提供网站证明截图及网址和详细的技术方法说明材料及提供该技术的政府机构或第三方认证机构的相关证明材料得 3 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T12</w:t>
            </w:r>
          </w:p>
        </w:tc>
        <w:tc>
          <w:tcPr>
            <w:tcW w:w="831" w:type="dxa"/>
          </w:tcPr>
          <w:p>
            <w:pPr>
              <w:pStyle w:val="4"/>
              <w:jc w:val="right"/>
            </w:pPr>
            <w:r>
              <w:t>2.00</w:t>
            </w:r>
          </w:p>
        </w:tc>
        <w:tc>
          <w:tcPr>
            <w:tcW w:w="4153" w:type="dxa"/>
          </w:tcPr>
          <w:p>
            <w:pPr>
              <w:pStyle w:val="4"/>
              <w:jc w:val="both"/>
            </w:pPr>
            <w:r>
              <w:t>投标人具备原创漏洞挖掘能力，根据投标人在国家信息安全漏洞共享平台上报的漏洞积分进行评分，500分（含）及以 上的得2分，300≤漏洞积分＜500的得1分；低于300分或未提供的不得分。【提供CNVD官网的查询结果，加盖投标人公章】</w:t>
            </w:r>
          </w:p>
        </w:tc>
      </w:tr>
    </w:tbl>
    <w:p>
      <w:pPr>
        <w:pStyle w:val="4"/>
        <w:jc w:val="both"/>
      </w:pPr>
      <w:r>
        <w:t>商务项（F3×A3）满分为25.00分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B1</w:t>
            </w:r>
          </w:p>
        </w:tc>
        <w:tc>
          <w:tcPr>
            <w:tcW w:w="831" w:type="dxa"/>
          </w:tcPr>
          <w:p>
            <w:pPr>
              <w:pStyle w:val="4"/>
              <w:jc w:val="right"/>
            </w:pPr>
            <w:r>
              <w:t>2.00</w:t>
            </w:r>
          </w:p>
        </w:tc>
        <w:tc>
          <w:tcPr>
            <w:tcW w:w="4153" w:type="dxa"/>
          </w:tcPr>
          <w:p>
            <w:pPr>
              <w:pStyle w:val="4"/>
              <w:jc w:val="both"/>
            </w:pPr>
            <w:r>
              <w:t>投标人具备公安部门网络安全事件应急处置安全服务(含试点)单位证书、网络与信息安全信息通报中心支撑单位证书，满分2分，缺少一项扣1分。需提供相关证明材料复印件。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B2</w:t>
            </w:r>
          </w:p>
        </w:tc>
        <w:tc>
          <w:tcPr>
            <w:tcW w:w="831" w:type="dxa"/>
          </w:tcPr>
          <w:p>
            <w:pPr>
              <w:pStyle w:val="4"/>
              <w:jc w:val="right"/>
            </w:pPr>
            <w:r>
              <w:t>2.00</w:t>
            </w:r>
          </w:p>
        </w:tc>
        <w:tc>
          <w:tcPr>
            <w:tcW w:w="4153" w:type="dxa"/>
          </w:tcPr>
          <w:p>
            <w:pPr>
              <w:pStyle w:val="4"/>
              <w:jc w:val="both"/>
            </w:pPr>
            <w:r>
              <w:t>投标人具备技术研发能力，将技术研究成果转化为安全服务工具的能力，具有省级（或以上）相关部门认证的软件技术研发中心证书和信息网络安全企业工程技术研究中心证书，满分2分，缺少一项扣1分。需提供相关证明材料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B3</w:t>
            </w:r>
          </w:p>
        </w:tc>
        <w:tc>
          <w:tcPr>
            <w:tcW w:w="831" w:type="dxa"/>
          </w:tcPr>
          <w:p>
            <w:pPr>
              <w:pStyle w:val="4"/>
              <w:jc w:val="right"/>
            </w:pPr>
            <w:r>
              <w:t>3.00</w:t>
            </w:r>
          </w:p>
        </w:tc>
        <w:tc>
          <w:tcPr>
            <w:tcW w:w="4153" w:type="dxa"/>
          </w:tcPr>
          <w:p>
            <w:pPr>
              <w:pStyle w:val="4"/>
              <w:jc w:val="both"/>
            </w:pPr>
            <w:r>
              <w:t>投标人具有信息网络安全软件公共技术服务类平台，平台主要内容须包含但不限于以下方面：高性能支撑网络系统、软件安全性测试平台、信息安全服务与技术支撑中心等。提供省级及以上政府部门认证的相关证明材料，完全体现以上要求平台主要内容的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B4.1</w:t>
            </w:r>
          </w:p>
        </w:tc>
        <w:tc>
          <w:tcPr>
            <w:tcW w:w="831" w:type="dxa"/>
          </w:tcPr>
          <w:p>
            <w:pPr>
              <w:pStyle w:val="4"/>
              <w:jc w:val="right"/>
            </w:pPr>
            <w:r>
              <w:t>3.00</w:t>
            </w:r>
          </w:p>
        </w:tc>
        <w:tc>
          <w:tcPr>
            <w:tcW w:w="4153" w:type="dxa"/>
          </w:tcPr>
          <w:p>
            <w:pPr>
              <w:pStyle w:val="4"/>
              <w:jc w:val="both"/>
            </w:pPr>
            <w:r>
              <w:t>投标人投入本项目的项目经理（要求采用AB角互备管理方式）其中A角项目经理须具备项目管理能力与云安全服务能力，即具有IT服务项目经理（ITSS）证书、国家注册渗透测试工程师（CISP-PTE）证书、信息安全保障人员工程师CISAW（安全集成专业级）和云安全知识认证CCSK证书。须提供该人员ITSS证书复印件、CISP-PTE证书复印件、CISAW证书复印件、CCSK证书复印件及投标截止前六个月（不含当月）任意一个月社保缴纳证明。材料齐全的得3分，提供不全的得1分，未提供不得分；满分3分。（B4项同一人员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B4.2</w:t>
            </w:r>
          </w:p>
        </w:tc>
        <w:tc>
          <w:tcPr>
            <w:tcW w:w="831" w:type="dxa"/>
          </w:tcPr>
          <w:p>
            <w:pPr>
              <w:pStyle w:val="4"/>
              <w:jc w:val="right"/>
            </w:pPr>
            <w:r>
              <w:t>2.00</w:t>
            </w:r>
          </w:p>
        </w:tc>
        <w:tc>
          <w:tcPr>
            <w:tcW w:w="4153" w:type="dxa"/>
          </w:tcPr>
          <w:p>
            <w:pPr>
              <w:pStyle w:val="4"/>
              <w:jc w:val="both"/>
            </w:pPr>
            <w:r>
              <w:t>投标人投入本项目的项目经理（要求采用AB角互备管理方式）其中B角项目经理应具备项目管理能力与信息安全技术能力，即具有信息系统项目管理师（计算机技术与软件专业技术资格高级证书）、注册信息安全工程师（CISE）。须提供该人员计算机技术与软件专业技术资格高级证书复印件、CISE证书复印件及投标截止前六个月（不含当月）任意一个月社保缴纳证明。材料齐全的得2分，提供不全的得1分，未提供不得分；满分2分。（B4项同一人员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B4.3</w:t>
            </w:r>
          </w:p>
        </w:tc>
        <w:tc>
          <w:tcPr>
            <w:tcW w:w="831" w:type="dxa"/>
          </w:tcPr>
          <w:p>
            <w:pPr>
              <w:pStyle w:val="4"/>
              <w:jc w:val="right"/>
            </w:pPr>
            <w:r>
              <w:t>1.00</w:t>
            </w:r>
          </w:p>
        </w:tc>
        <w:tc>
          <w:tcPr>
            <w:tcW w:w="4153" w:type="dxa"/>
          </w:tcPr>
          <w:p>
            <w:pPr>
              <w:pStyle w:val="4"/>
              <w:jc w:val="both"/>
            </w:pPr>
            <w:r>
              <w:t>投标人拟投入本项目的团队人员具有1名Web应用认证安全专家(CWASP)，具有CWASP L2(专家级)证书的得1分；提供该人员相关证书复印件及投标截止前六个月（不含当月）任意一个月社保缴纳证明。（B4项同一人员不重复得分）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B4.4</w:t>
            </w:r>
          </w:p>
        </w:tc>
        <w:tc>
          <w:tcPr>
            <w:tcW w:w="831" w:type="dxa"/>
          </w:tcPr>
          <w:p>
            <w:pPr>
              <w:pStyle w:val="4"/>
              <w:jc w:val="right"/>
            </w:pPr>
            <w:r>
              <w:t>2.00</w:t>
            </w:r>
          </w:p>
        </w:tc>
        <w:tc>
          <w:tcPr>
            <w:tcW w:w="4153" w:type="dxa"/>
          </w:tcPr>
          <w:p>
            <w:pPr>
              <w:pStyle w:val="4"/>
              <w:jc w:val="both"/>
            </w:pPr>
            <w:r>
              <w:t>投标人拟投入本项目的团队人员具有至少1名工程师有较强的项目管理能力与系统运维能力，即具有信息安全等级保护安全建设专业技术证书（DJJS），并获得国产Linux工程师认证证书，材料齐全的得2分，其他情况不得分，满分2分。须提供该人员DJJS证书复印件、Linux认证证书复印件及投标截止前六个月（不含当月）任意一个月社保缴纳证明。（B4项同一人员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B4.5</w:t>
            </w:r>
          </w:p>
        </w:tc>
        <w:tc>
          <w:tcPr>
            <w:tcW w:w="831" w:type="dxa"/>
          </w:tcPr>
          <w:p>
            <w:pPr>
              <w:pStyle w:val="4"/>
              <w:jc w:val="right"/>
            </w:pPr>
            <w:r>
              <w:t>1.00</w:t>
            </w:r>
          </w:p>
        </w:tc>
        <w:tc>
          <w:tcPr>
            <w:tcW w:w="4153" w:type="dxa"/>
          </w:tcPr>
          <w:p>
            <w:pPr>
              <w:pStyle w:val="4"/>
              <w:jc w:val="both"/>
            </w:pPr>
            <w:r>
              <w:t>投标人拟投入本项目的团队人员具有至少1名工程师具备专业安全技术水平，同时具有信息安全等级保护安全建设专业技术证书（DJJS）和信息安全保障人员认证（CISAW），材料齐全的得1分，其它情况不得分。须提供该人员相关证书复印件及投标截止前六个月（不含当月）任意一个月社保缴纳证明。（B4项同一人员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B5</w:t>
            </w:r>
          </w:p>
        </w:tc>
        <w:tc>
          <w:tcPr>
            <w:tcW w:w="831" w:type="dxa"/>
          </w:tcPr>
          <w:p>
            <w:pPr>
              <w:pStyle w:val="4"/>
              <w:jc w:val="right"/>
            </w:pPr>
            <w:r>
              <w:t>3.00</w:t>
            </w:r>
          </w:p>
        </w:tc>
        <w:tc>
          <w:tcPr>
            <w:tcW w:w="4153" w:type="dxa"/>
          </w:tcPr>
          <w:p>
            <w:pPr>
              <w:pStyle w:val="4"/>
              <w:jc w:val="both"/>
            </w:pPr>
            <w:r>
              <w:t>投标人提供2020年1月1日起至本项目投标截止时间止（以合同签订时间为准）独立完成的安全服务类项目同类项目业绩的案例进行评价，每提供一份的1分，满分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 注：同一业绩不能重复得分。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B6</w:t>
            </w:r>
          </w:p>
        </w:tc>
        <w:tc>
          <w:tcPr>
            <w:tcW w:w="831" w:type="dxa"/>
          </w:tcPr>
          <w:p>
            <w:pPr>
              <w:pStyle w:val="4"/>
              <w:jc w:val="right"/>
            </w:pPr>
            <w:r>
              <w:t>3.00</w:t>
            </w:r>
          </w:p>
        </w:tc>
        <w:tc>
          <w:tcPr>
            <w:tcW w:w="4153" w:type="dxa"/>
          </w:tcPr>
          <w:p>
            <w:pPr>
              <w:pStyle w:val="4"/>
              <w:jc w:val="both"/>
            </w:pPr>
            <w:r>
              <w:t>根据投标人提供2020年1月1日至本项目投标截止时间止，完成的同类型项目用户满意度评价情况进行评分：每提供一份完整的用户单位满意度证明材料（满意度反馈应为满意或优秀等正面评价内容）的得3分。（提供有效期内采购方满意度相关盖章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B7</w:t>
            </w:r>
          </w:p>
        </w:tc>
        <w:tc>
          <w:tcPr>
            <w:tcW w:w="831" w:type="dxa"/>
          </w:tcPr>
          <w:p>
            <w:pPr>
              <w:pStyle w:val="4"/>
              <w:jc w:val="right"/>
            </w:pPr>
            <w:r>
              <w:t>3.00</w:t>
            </w:r>
          </w:p>
        </w:tc>
        <w:tc>
          <w:tcPr>
            <w:tcW w:w="4153" w:type="dxa"/>
          </w:tcPr>
          <w:p>
            <w:pPr>
              <w:pStyle w:val="4"/>
              <w:jc w:val="both"/>
            </w:pPr>
            <w:r>
              <w:t>为保障售后服务的质量和便捷性，投标人提供应急响应方案（包括但不限于应急演练、响应时间、响应方式），方案完整、合理、具有可操作性、完全满足采购需求的得3分；方案基本完整、合理性一般、具有一定操作性、基本满足采购需求的得2分；方案不完整，但具有操作性，能部分满足采购需求的得1分；未提供不得分。</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sz w:val="24"/>
          <w:shd w:val="clear" w:fill="FFFFFF"/>
        </w:rPr>
        <w:t>招标服务一览表</w:t>
      </w:r>
    </w:p>
    <w:tbl>
      <w:tblPr>
        <w:tblStyle w:val="3"/>
        <w:tblW w:w="830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965"/>
        <w:gridCol w:w="1251"/>
        <w:gridCol w:w="3166"/>
        <w:gridCol w:w="1613"/>
        <w:gridCol w:w="131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合同包</w:t>
            </w:r>
          </w:p>
        </w:tc>
        <w:tc>
          <w:tcPr>
            <w:tcW w:w="125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品目号</w:t>
            </w:r>
          </w:p>
        </w:tc>
        <w:tc>
          <w:tcPr>
            <w:tcW w:w="31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项目名称</w:t>
            </w:r>
          </w:p>
        </w:tc>
        <w:tc>
          <w:tcPr>
            <w:tcW w:w="16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数量/服务周期</w:t>
            </w:r>
          </w:p>
        </w:tc>
        <w:tc>
          <w:tcPr>
            <w:tcW w:w="13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功能要求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1</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1</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等保三级测评服务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1次/年</w:t>
            </w:r>
          </w:p>
        </w:tc>
        <w:tc>
          <w:tcPr>
            <w:tcW w:w="131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详见招标内容及要求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2</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等级保护咨询服务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6次/年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3</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安全驻场服务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12次/年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4</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资产探查及管理服务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12次/年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5</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系统漏扫及复查</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12次/年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6</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优化安全服务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7</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公共显示屏内容安全服务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4次/年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8</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安全应急响应服务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9</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重要会议保障服务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45天/年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10</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主机安全风险监控服务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4次/年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11</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APP安全服务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4次/年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12</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sz w:val="24"/>
              </w:rPr>
              <w:t>应急演练服务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sz w:val="24"/>
              </w:rPr>
              <w:t>2次/年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color w:val="000000"/>
                <w:sz w:val="24"/>
              </w:rPr>
              <w:t>13</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安全感知与运营管理服务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color w:val="000000"/>
                <w:sz w:val="24"/>
              </w:rPr>
              <w:t>1年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color w:val="000000"/>
                <w:sz w:val="24"/>
              </w:rPr>
              <w:t>14</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实战攻防演练服务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color w:val="000000"/>
                <w:sz w:val="24"/>
              </w:rPr>
              <w:t>1次/年</w:t>
            </w:r>
          </w:p>
        </w:tc>
        <w:tc>
          <w:tcPr>
            <w:tcW w:w="1311"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965" w:type="dxa"/>
            <w:vMerge w:val="continue"/>
            <w:tcBorders>
              <w:top w:val="nil"/>
              <w:left w:val="single" w:color="000000" w:sz="4" w:space="0"/>
              <w:bottom w:val="single" w:color="000000" w:sz="4" w:space="0"/>
              <w:right w:val="single" w:color="000000" w:sz="4" w:space="0"/>
            </w:tcBorders>
          </w:tcP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ind w:firstLine="380"/>
              <w:jc w:val="center"/>
            </w:pPr>
            <w:r>
              <w:rPr>
                <w:rFonts w:ascii="宋体" w:hAnsi="宋体" w:eastAsia="宋体" w:cs="宋体"/>
                <w:color w:val="000000"/>
                <w:sz w:val="24"/>
              </w:rPr>
              <w:t>15</w:t>
            </w:r>
          </w:p>
        </w:tc>
        <w:tc>
          <w:tcPr>
            <w:tcW w:w="31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商用密码应用安全测评服务</w:t>
            </w:r>
          </w:p>
        </w:tc>
        <w:tc>
          <w:tcPr>
            <w:tcW w:w="16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rFonts w:ascii="宋体" w:hAnsi="宋体" w:eastAsia="宋体" w:cs="宋体"/>
                <w:color w:val="000000"/>
                <w:sz w:val="24"/>
              </w:rPr>
              <w:t>1次/年</w:t>
            </w:r>
          </w:p>
        </w:tc>
        <w:tc>
          <w:tcPr>
            <w:tcW w:w="1311" w:type="dxa"/>
            <w:vMerge w:val="continue"/>
            <w:tcBorders>
              <w:top w:val="nil"/>
              <w:left w:val="nil"/>
              <w:bottom w:val="single" w:color="000000" w:sz="4" w:space="0"/>
              <w:right w:val="single" w:color="000000" w:sz="4" w:space="0"/>
            </w:tcBorders>
          </w:tcPr>
          <w:p/>
        </w:tc>
      </w:tr>
    </w:tbl>
    <w:p>
      <w:pPr>
        <w:pStyle w:val="4"/>
        <w:spacing w:after="120"/>
        <w:ind w:firstLine="480"/>
        <w:jc w:val="both"/>
      </w:pPr>
      <w:r>
        <w:rPr>
          <w:rFonts w:ascii="宋体" w:hAnsi="宋体" w:eastAsia="宋体" w:cs="宋体"/>
          <w:sz w:val="24"/>
        </w:rPr>
        <w:t>同时经统计本次招标安全服务监测预警涉及福建省交通运输厅及下属二级厅直单位已经建设业务系统合计59套，其中重点防护交通信息通信与应急处置中心、厅本级信息系统19套，具体如下：</w:t>
      </w:r>
    </w:p>
    <w:p>
      <w:pPr>
        <w:pStyle w:val="4"/>
        <w:ind w:firstLine="480"/>
        <w:jc w:val="center"/>
      </w:pPr>
      <w:r>
        <w:rPr>
          <w:rFonts w:ascii="宋体" w:hAnsi="宋体" w:eastAsia="宋体" w:cs="宋体"/>
          <w:sz w:val="24"/>
        </w:rPr>
        <w:t>招标服务覆盖业务系统一览表</w:t>
      </w:r>
    </w:p>
    <w:tbl>
      <w:tblPr>
        <w:tblStyle w:val="3"/>
        <w:tblW w:w="8306" w:type="dxa"/>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13"/>
        <w:gridCol w:w="3009"/>
        <w:gridCol w:w="448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w:t>
            </w:r>
          </w:p>
        </w:tc>
        <w:tc>
          <w:tcPr>
            <w:tcW w:w="300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福建省交通运输厅</w:t>
            </w:r>
          </w:p>
        </w:tc>
        <w:tc>
          <w:tcPr>
            <w:tcW w:w="4484"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福建省交通运输厅“双随机”抽查系统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城市公交智能管理与服务平台建设项目（一期）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交通运输统计分析监测和投资计划管理系统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交通安全视频监控系统中心平台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卫星定位安全服务系统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交通运输统计分析监测和投资计划管理信息系统工程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交通运输厅网站群系统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交通运输厅财务综合管理一体化平台项目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交通运输数据资源汇聚工程（一期）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10</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交通运输科技项目管理信息系统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11</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道路运输安全监管标准化信息管理系统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交通运输行业电子监察平台</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交通运输12328服务监督电话系统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公路水路建设与运输市场信用信息服务系统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公路水路安全畅通与应急处置系统工程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交通物流公共信息平台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交通地理信息公共服务平台（二期）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福建省公路水运工程标后监管系统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19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福建省交通信息通信与应急处置中心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机动车驾驶培训监管服务平台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20</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公路统计年报系统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21</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路网管理与应急处置平台（二期）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路况现场采集及技术状况评定系统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交通情况调查管理平台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综合交通基础设施图库建设与管理工程（一期）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普通专养公路养护机电设备管理系统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普通省道和农村公路“以奖代补”考核数据支撑系统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普通国省干线公路建设项目信用考核内业资料管理平台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普通公路路网监测工程（路网数据中心）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29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农村公路管理信息综合服务平台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30</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国省干线公路养护管理系统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31</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路网结构改造工程计划管理系统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公路局网络办公系统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中国公路桥梁管理系统&amp;中国公路隧道管理系统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视频管理平台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福建省公路事业发展中心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公路建设项目管理系统&amp;路政综合管理平台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公路水路建设与运输市场信用信息服务系统及相关软硬件支撑系统工程（省运输事业发展中心部分）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机动车驾驶培训学时管理系统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道路运政管理信息系统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39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运输中心数字档案室管理系统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40</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道路客运信息系统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41</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危险货物道路运输安全监管系统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道路运输电子证照系统项目</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福建省运输事业发展中心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道路运输场站视频监控管理系统（一期）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福建省港航事业发展中心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省级港口危险货物视频监控平台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福建省港航事业发展中心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水路运政管理信息系统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福建省港航事业发展中心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省级港口危险货物安全监管综合服务平台示范工程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福建省港航事业发展中心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交通运输安全监管与应急处置平台省港航局中心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福建省港航事业发展中心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港航管理局水路运输市场信用信息采集</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49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福建省福州港口发展中心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福州港口信息化项目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50</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福建省福州港口发展中心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福州闽江南港航标遥测遥控信息系统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51</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福建省交通运输综合保障服务中心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治超监测监控中心软件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52</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福建省交通运输综合保障服务中心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交通综合行政执法信息管理系统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53</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福建省交通运输综合保障服务中心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交通综合行政执法三级联网联动执法信息系统</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54</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福建省交通运输综合保障服务中心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交通综合行政执法费用处结系统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55</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福建省交通建设质量安全中心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交通“智慧质监”信息系统项目（一期）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56</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福建省湄洲湾港口发展中心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湄洲湾港口信息化支持保障系统（一期）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57</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福建省湄洲湾港口发展中心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湄洲湾港口发展中心视频监控平台</w:t>
            </w:r>
          </w:p>
        </w:tc>
      </w:tr>
      <w:tr>
        <w:tblPrEx>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58</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福建省泉州港口发展中心</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泉州港口发展中心视频监控平台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13"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59</w:t>
            </w:r>
          </w:p>
        </w:tc>
        <w:tc>
          <w:tcPr>
            <w:tcW w:w="300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福建省交科发集团</w:t>
            </w:r>
          </w:p>
        </w:tc>
        <w:tc>
          <w:tcPr>
            <w:tcW w:w="448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ind w:firstLine="380"/>
              <w:jc w:val="center"/>
            </w:pPr>
            <w:r>
              <w:rPr>
                <w:rFonts w:ascii="宋体" w:hAnsi="宋体" w:eastAsia="宋体" w:cs="宋体"/>
                <w:color w:val="000000"/>
                <w:sz w:val="24"/>
              </w:rPr>
              <w:t>交通运输行业人才管理系统</w:t>
            </w:r>
          </w:p>
        </w:tc>
      </w:tr>
    </w:tbl>
    <w:p>
      <w:pPr>
        <w:pStyle w:val="4"/>
        <w:ind w:firstLine="480"/>
        <w:jc w:val="both"/>
      </w:pPr>
      <w:r>
        <w:rPr>
          <w:rFonts w:ascii="宋体" w:hAnsi="宋体" w:eastAsia="宋体" w:cs="宋体"/>
          <w:sz w:val="24"/>
          <w:shd w:val="clear" w:fill="FFFFFF"/>
        </w:rPr>
        <w:t>其中，福建省交通信息通信与应急处置中心6个重要的信息系统，参照《网络安全等级保护定级指南》 GB/T 22240-2020定级三级，进行测评，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p>
      <w:pPr>
        <w:pStyle w:val="4"/>
        <w:jc w:val="both"/>
        <w:outlineLvl w:val="2"/>
      </w:pPr>
      <w:r>
        <w:rPr>
          <w:b/>
          <w:sz w:val="28"/>
        </w:rPr>
        <w:t>二、技术和服务要求（以“★”标示的内容为不允许负偏离的实质性要求）</w:t>
      </w:r>
    </w:p>
    <w:tbl>
      <w:tblPr>
        <w:tblStyle w:val="3"/>
        <w:tblW w:w="830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26"/>
        <w:gridCol w:w="796"/>
        <w:gridCol w:w="5678"/>
        <w:gridCol w:w="10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服务项</w:t>
            </w:r>
          </w:p>
        </w:tc>
        <w:tc>
          <w:tcPr>
            <w:tcW w:w="7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服务细项</w:t>
            </w:r>
          </w:p>
        </w:tc>
        <w:tc>
          <w:tcPr>
            <w:tcW w:w="567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服务技术指标</w:t>
            </w:r>
          </w:p>
        </w:tc>
        <w:tc>
          <w:tcPr>
            <w:tcW w:w="100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服务周期/数量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等级保护系统测评</w:t>
            </w: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三级系统测评服务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福建省交通信息通信与应急处置中心有等保三级系统6个进行等级保护测评，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p>
            <w:pPr>
              <w:pStyle w:val="4"/>
              <w:jc w:val="left"/>
            </w:pPr>
            <w:r>
              <w:rPr>
                <w:rFonts w:ascii="宋体" w:hAnsi="宋体" w:eastAsia="宋体" w:cs="宋体"/>
                <w:sz w:val="24"/>
              </w:rPr>
              <w:t>1.以上测评需依据国家《信息安全技术网络安全等级保护基本要求GBT22239-2019 》、《信息安全技术网络安全等级保护测评要求GBT28448-2019》等法规要求进行信息系统安全等级测评。</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等保合规建设</w:t>
            </w: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等级保护咨询服务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包含等保定级备案咨询（包括信息系统分析及协助定级）、等保差距咨询、等级保护整改方案咨询、等保测评协助咨询、安全管理制度等。需要充分解读网络安全等级保护相关政策和标准，咨询内容包括提升网络安全防护能力，应对新威胁、新应用下的安全威胁，利用大数据分析、威胁情报共享、云防护的创新技术理念与技术落地，实现对网络安全的合规运营及安全处置，并达到国家网络安全等级保护的相关标准与要求。包括以下内容：</w:t>
            </w:r>
          </w:p>
          <w:p>
            <w:pPr>
              <w:pStyle w:val="4"/>
              <w:jc w:val="left"/>
            </w:pPr>
            <w:r>
              <w:rPr>
                <w:rFonts w:ascii="宋体" w:hAnsi="宋体" w:eastAsia="宋体" w:cs="宋体"/>
                <w:sz w:val="24"/>
              </w:rPr>
              <w:t>2.包含资产识别、威胁评估、脆弱性评估结果，形成可交付的整体综合风险评估报告。</w:t>
            </w:r>
          </w:p>
          <w:p>
            <w:pPr>
              <w:pStyle w:val="4"/>
              <w:jc w:val="left"/>
            </w:pPr>
            <w:r>
              <w:rPr>
                <w:rFonts w:ascii="宋体" w:hAnsi="宋体" w:eastAsia="宋体" w:cs="宋体"/>
                <w:sz w:val="24"/>
              </w:rPr>
              <w:t>3.业务调研包含全面梳理信息系统承载的业务情况，以及由此带来的业务风险，对系统承载的关键业务和业务流程进行详细的调研。</w:t>
            </w:r>
          </w:p>
          <w:p>
            <w:pPr>
              <w:pStyle w:val="4"/>
              <w:jc w:val="left"/>
            </w:pPr>
            <w:r>
              <w:rPr>
                <w:rFonts w:ascii="宋体" w:hAnsi="宋体" w:eastAsia="宋体" w:cs="宋体"/>
                <w:sz w:val="24"/>
              </w:rPr>
              <w:t>4.协助修订、更新厅及通信与应急处置中心安全管理制度，主要包括安全管理机构、安全管理人员、安全管理制度、安全建设管理、安全运维管理等方面，并基于信息系统生命周期将安全管理中涉及的人员角色、管理制度、安全技术、安全运营等工作相结合实现可量化考核、可落地的安全管理制度。</w:t>
            </w:r>
          </w:p>
          <w:p>
            <w:pPr>
              <w:pStyle w:val="4"/>
              <w:jc w:val="left"/>
            </w:pPr>
            <w:r>
              <w:rPr>
                <w:rFonts w:ascii="宋体" w:hAnsi="宋体" w:eastAsia="宋体" w:cs="宋体"/>
                <w:sz w:val="24"/>
              </w:rPr>
              <w:t>5.针对已有措施和结合等级保护要求，提供已有安全措施的功能、防护有效性的验证服务。</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6次/年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restart"/>
            <w:tcBorders>
              <w:top w:val="nil"/>
              <w:left w:val="single" w:color="000000" w:sz="4" w:space="0"/>
              <w:bottom w:val="nil"/>
              <w:right w:val="single" w:color="000000" w:sz="4" w:space="0"/>
            </w:tcBorders>
            <w:tcMar>
              <w:top w:w="0" w:type="dxa"/>
              <w:left w:w="105" w:type="dxa"/>
              <w:bottom w:w="0" w:type="dxa"/>
              <w:right w:w="105" w:type="dxa"/>
            </w:tcMar>
            <w:vAlign w:val="top"/>
          </w:tcPr>
          <w:p>
            <w:pPr>
              <w:pStyle w:val="4"/>
              <w:jc w:val="center"/>
            </w:p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安全驻场服务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6.</w:t>
            </w:r>
            <w:r>
              <w:rPr>
                <w:rFonts w:ascii="宋体" w:hAnsi="宋体" w:eastAsia="宋体" w:cs="宋体"/>
                <w:sz w:val="24"/>
                <w:shd w:val="clear" w:fill="FFFFFF"/>
              </w:rPr>
              <w:t>★</w:t>
            </w:r>
            <w:r>
              <w:rPr>
                <w:rFonts w:ascii="宋体" w:hAnsi="宋体" w:eastAsia="宋体" w:cs="宋体"/>
                <w:sz w:val="24"/>
              </w:rPr>
              <w:t>应为本项目提供专业服务团队，该团队包括项目经理、至少两名实施安全工程师和两名驻场值守工程师，须在投标文件中提供组成本项目专业服务团队人员清单列表。每月至少1次全网常规安全风险评估，根据每周系统更新包上线的频率进行至少每周一次的子系统风险评估。包含漏洞安全管理、基线检查、渗透测试服务、日常维护服务，形成可交付的漏扫、基线检查、渗透测试报告以及工作日报、安全事件分析报告、巡检报告等。根据采购人单位安排，开展现场值班。</w:t>
            </w:r>
          </w:p>
          <w:p>
            <w:pPr>
              <w:pStyle w:val="4"/>
              <w:jc w:val="left"/>
            </w:pPr>
            <w:r>
              <w:rPr>
                <w:rFonts w:ascii="宋体" w:hAnsi="宋体" w:eastAsia="宋体" w:cs="宋体"/>
                <w:sz w:val="24"/>
              </w:rPr>
              <w:t>7.针对最新的安全风险（如：网络安全、应用安全、病毒、木马、arp攻击、漏洞等）和各类安全管理问题（如弱口令等）进行专项的检查，针对门户网站及应用系统进行完整的、全面的巡查，排除风险，对检查中发现的问题确认影响范围，并提供修复建议。辅助应对上级安全检查以及针对厅及厅直单位进行的安全检查，并就检查出的问题提出整改建议。</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资产探查及管理服务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资产探查及管理服务包含主机资产探查服务、网站资产探查服务、资产漏洞验证服务，形成详细的可交付报告。</w:t>
            </w:r>
          </w:p>
          <w:p>
            <w:pPr>
              <w:pStyle w:val="4"/>
              <w:jc w:val="left"/>
            </w:pPr>
            <w:r>
              <w:rPr>
                <w:rFonts w:ascii="宋体" w:hAnsi="宋体" w:eastAsia="宋体" w:cs="宋体"/>
                <w:sz w:val="24"/>
              </w:rPr>
              <w:t>8.支持主动探针将对所有在线设备进行网络扫描和深入识别，获取终端的网络地址、系统网络指纹、系统开放端口和服务指纹，并根据积累和运营的指纹库裁定每个终端的类型、操作系统、厂商信息。</w:t>
            </w:r>
          </w:p>
          <w:p>
            <w:pPr>
              <w:pStyle w:val="4"/>
              <w:jc w:val="left"/>
            </w:pPr>
            <w:r>
              <w:rPr>
                <w:rFonts w:ascii="宋体" w:hAnsi="宋体" w:eastAsia="宋体" w:cs="宋体"/>
                <w:sz w:val="24"/>
              </w:rPr>
              <w:t>9.提供资产发现：内置资产自动发现引擎，支持与FOFA、知道创宇等第三方资产发现引擎联动，自动发现网络中的新资产，识别资产的IP、URL、端口、服务、操作系统、安装的中间件、数据库等属性；提供资产审核：支持资产的审核管理，与资产自动引擎识别等资产进行审核与信息不全，实现资产自动发现、资产审核以及资产入库管理的资产全生命周期管理；具备丰富的资产管理属性，支持通过资产名称、IP、域名、URL、所属单位、负责人、所属网络、所属业务、部署位置、等保定级、维护方等属性对资产进行标识和管理。</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系统漏扫及复查</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10．网站安全风险管理及业务安全保障通过，及时发现系统存在的漏洞，生成漏扫报告，并定期进行复查，核实整改情况。驻场人员通过如下等技术手段对系统进行漏洞发现。</w:t>
            </w:r>
          </w:p>
          <w:p>
            <w:pPr>
              <w:pStyle w:val="4"/>
              <w:jc w:val="left"/>
            </w:pPr>
            <w:r>
              <w:rPr>
                <w:rFonts w:ascii="宋体" w:hAnsi="宋体" w:eastAsia="宋体" w:cs="宋体"/>
                <w:sz w:val="24"/>
              </w:rPr>
              <w:t>11.提供的漏洞扫描服务，涉及的工具内置漏洞扫描引擎，支持系统漏洞扫描、Web漏洞扫描、数据库漏洞扫描，支持与知道创宇WebSOC、WebRay、OpenVAS、Nessus、AWVS、安恒、绿盟等第三方漏洞扫描引擎对接，提供界面截图证明；</w:t>
            </w:r>
          </w:p>
          <w:p>
            <w:pPr>
              <w:pStyle w:val="4"/>
              <w:jc w:val="left"/>
            </w:pPr>
            <w:r>
              <w:rPr>
                <w:rFonts w:ascii="宋体" w:hAnsi="宋体" w:eastAsia="宋体" w:cs="宋体"/>
                <w:sz w:val="24"/>
              </w:rPr>
              <w:t>12.提供弱口令扫描服务，涉及的工具支持弱口令扫描功能，支持镜像流量检测web流量中是否存在可截获的口令信息；实现漏洞生命周期管理，提供包括漏洞扫描任务创建、漏洞扫描结果确认、漏洞派单处置等流程在内的漏洞闭环处置；</w:t>
            </w:r>
          </w:p>
          <w:p>
            <w:pPr>
              <w:pStyle w:val="4"/>
              <w:jc w:val="left"/>
            </w:pPr>
            <w:r>
              <w:rPr>
                <w:rFonts w:ascii="宋体" w:hAnsi="宋体" w:eastAsia="宋体" w:cs="宋体"/>
                <w:sz w:val="24"/>
              </w:rPr>
              <w:t>13.漏洞报告：支持资产、漏洞、任务策略维度的数据源筛选，对脆弱性、漏洞、资产等数据进行统计分析汇总，以统计图表方式，围绕资产，呈现风险、漏洞数量及变化趋势等。自动生成漏洞扫描任务结果报告。</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优化安全服务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14.通过信息安全专业服务商提供引入基于黑盒与白盒分析手段（代码审计）、内网全流量分析服务等，有效结合宏观大数据威胁情报及代码审计分析的突出审计效果，在宏观和微观两个层面上进一步加固采购人现有信息安全防护体系。</w:t>
            </w:r>
          </w:p>
          <w:p>
            <w:pPr>
              <w:pStyle w:val="4"/>
              <w:jc w:val="left"/>
            </w:pPr>
            <w:r>
              <w:rPr>
                <w:rFonts w:ascii="宋体" w:hAnsi="宋体" w:eastAsia="宋体" w:cs="宋体"/>
                <w:sz w:val="24"/>
              </w:rPr>
              <w:t>15.投标人提供的内网全流量分析服务，具备关联分析：支持针对日志或事件类型进行事件关联分析规则配置，并内置规则，包括：失陷主机活动、敏感数据传输、数据泄露、SQL注入、提交webshell代码、违规访问敏感文件、代码执行攻击等；提供的威胁事件分析服务，支持事件的分类规则，可分为九大类、百余子类的事件分类，包括：网络安全事件、数据安全事件、业务安全事件、内容安全事件、主机安全事件、可用性安全事件、异常网络访问安全事件、合规性事件、系统运行事件。</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公共显示屏内容安全服务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通过本服务构建基于大数据分析和云端计算的AI人工智能生态圈，实现集中接入管理、智能阻断不良信息、常态化管控。包括以下功能：</w:t>
            </w:r>
          </w:p>
          <w:p>
            <w:pPr>
              <w:pStyle w:val="4"/>
              <w:jc w:val="left"/>
            </w:pPr>
            <w:r>
              <w:rPr>
                <w:rFonts w:ascii="宋体" w:hAnsi="宋体" w:eastAsia="宋体" w:cs="宋体"/>
                <w:sz w:val="24"/>
              </w:rPr>
              <w:t>16.事前审核：在视频、文字、图片等播放内容传输到公共显示屏过程中进行码流缓存的事前审核。</w:t>
            </w:r>
          </w:p>
          <w:p>
            <w:pPr>
              <w:pStyle w:val="4"/>
              <w:jc w:val="left"/>
            </w:pPr>
            <w:r>
              <w:rPr>
                <w:rFonts w:ascii="宋体" w:hAnsi="宋体" w:eastAsia="宋体" w:cs="宋体"/>
                <w:sz w:val="24"/>
              </w:rPr>
              <w:t>17.事中控制：实时检测不良信息，一旦发现不良内容立即阻断输出信号。同时收集异常数据和取证信息，向公共显示屏内容安全用户管理平台报警。</w:t>
            </w:r>
          </w:p>
          <w:p>
            <w:pPr>
              <w:pStyle w:val="4"/>
              <w:jc w:val="left"/>
            </w:pPr>
            <w:r>
              <w:rPr>
                <w:rFonts w:ascii="宋体" w:hAnsi="宋体" w:eastAsia="宋体" w:cs="宋体"/>
                <w:sz w:val="24"/>
              </w:rPr>
              <w:t>18.事后处理：收集取证信息，通过手机APP、PC端登录用户管理平台查看异常日志并可通过回放功能进行事件还原取证分析，上报主管单位，有效提升网络安全管理及防护水平。</w:t>
            </w:r>
          </w:p>
          <w:p>
            <w:pPr>
              <w:pStyle w:val="4"/>
              <w:jc w:val="left"/>
            </w:pPr>
            <w:r>
              <w:rPr>
                <w:rFonts w:ascii="宋体" w:hAnsi="宋体" w:eastAsia="宋体" w:cs="宋体"/>
                <w:sz w:val="24"/>
              </w:rPr>
              <w:t>19.产品提供自动识别涉黄、涉暴恐、涉政、涉不良广告等技术功能要求。</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安全应急响应服务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20.优化应急处置流程及应急处置机制，包含7*24小时的网络安全应急响应服务及安全重保服务，一旦突发安全事件，驻场人员需在5分钟内启动应急响应，协助完成不限于以下工作：事件范围损失控制，取证，事件处理，外部攻击源追溯，内部脆弱性分析.</w:t>
            </w:r>
          </w:p>
          <w:p>
            <w:pPr>
              <w:pStyle w:val="4"/>
              <w:jc w:val="left"/>
            </w:pPr>
            <w:r>
              <w:rPr>
                <w:rFonts w:ascii="宋体" w:hAnsi="宋体" w:eastAsia="宋体" w:cs="宋体"/>
                <w:sz w:val="24"/>
              </w:rPr>
              <w:t>21.响应管理：根据资产、响应组以及漏洞和告警的属性进行响应设置，响应方式支持邮件、系统消息等响应方式。</w:t>
            </w:r>
          </w:p>
          <w:p>
            <w:pPr>
              <w:pStyle w:val="4"/>
              <w:jc w:val="left"/>
            </w:pPr>
            <w:r>
              <w:rPr>
                <w:rFonts w:ascii="宋体" w:hAnsi="宋体" w:eastAsia="宋体" w:cs="宋体"/>
                <w:sz w:val="24"/>
              </w:rPr>
              <w:t>22.提供应急响应的工单管理：支持漏洞、告警的派单处理，按照安全运维的设定流程进行工单流转并最终到达该告警的负责人，该负责人进行告警事件的处理，在处理过程中，该工作单的处理过程的各个状态可查看、可追踪。</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重要会议保障服务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负责重保期间各重要单位网络安全的监测、应急值守、应急处突、攻防演习等工作。</w:t>
            </w:r>
          </w:p>
          <w:p>
            <w:pPr>
              <w:pStyle w:val="4"/>
              <w:jc w:val="left"/>
            </w:pPr>
            <w:r>
              <w:rPr>
                <w:rFonts w:ascii="宋体" w:hAnsi="宋体" w:eastAsia="宋体" w:cs="宋体"/>
                <w:sz w:val="24"/>
              </w:rPr>
              <w:t>23．重保服务即重要时期安全保障服务，是基于攻防态势剧烈化和多年安全攻防运营经验积累推出的安全服务。结合高级专家与数十年技术积累，为采购人提供场全天候实时的安全保障。重保服务期间可通过安全监控、攻击验证、攻击排查等工作，帮助企业进行安全防护和应急处置，提升保障期间对安全事件的防御能力。</w:t>
            </w:r>
          </w:p>
          <w:p>
            <w:pPr>
              <w:pStyle w:val="4"/>
              <w:jc w:val="left"/>
            </w:pPr>
            <w:r>
              <w:rPr>
                <w:rFonts w:ascii="宋体" w:hAnsi="宋体" w:eastAsia="宋体" w:cs="宋体"/>
                <w:sz w:val="24"/>
              </w:rPr>
              <w:t>24.在重大活动或会议期间，为关键信息基础设施提供重保组织架构设计、安全评估、指导修复、积极防御、攻防演习、实时监测、安全值守、响应处置等一系列安全服务。</w:t>
            </w:r>
            <w:r>
              <w:rPr>
                <w:rFonts w:ascii="宋体" w:hAnsi="宋体" w:eastAsia="宋体" w:cs="宋体"/>
                <w:sz w:val="24"/>
                <w:shd w:val="clear" w:fill="FFFFFF"/>
              </w:rPr>
              <w:t>安排专人7*24小时现场值班值守。</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45天/年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主机安全风险监控服务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针对互联网系统的主机不超过400台,提供以下服务：</w:t>
            </w:r>
          </w:p>
          <w:p>
            <w:pPr>
              <w:pStyle w:val="4"/>
              <w:jc w:val="left"/>
            </w:pPr>
            <w:r>
              <w:rPr>
                <w:rFonts w:ascii="宋体" w:hAnsi="宋体" w:eastAsia="宋体" w:cs="宋体"/>
                <w:sz w:val="24"/>
              </w:rPr>
              <w:t>25.主机安全风险监控服务</w:t>
            </w:r>
          </w:p>
          <w:p>
            <w:pPr>
              <w:pStyle w:val="4"/>
              <w:jc w:val="left"/>
            </w:pPr>
            <w:r>
              <w:rPr>
                <w:rFonts w:ascii="宋体" w:hAnsi="宋体" w:eastAsia="宋体" w:cs="宋体"/>
                <w:sz w:val="24"/>
              </w:rPr>
              <w:t>通过在虚拟服务器上安装轻量级agent程序，自动收集主机系统的资产信息、安全基线配置信息、运行状态信息、关键日志信息等，并对系统账号、Web目录文件等进行实时监控和检测。将监测、收集到的元数据汇总到集中平台进行分析、告警和管理，让系统管理人员能够及时掌握服务器安全状态。能够检测到对重要节点进行入侵的行为，并在发生严重入侵事件时提供报警。</w:t>
            </w:r>
          </w:p>
          <w:p>
            <w:pPr>
              <w:pStyle w:val="4"/>
              <w:jc w:val="left"/>
            </w:pPr>
            <w:r>
              <w:rPr>
                <w:rFonts w:ascii="宋体" w:hAnsi="宋体" w:eastAsia="宋体" w:cs="宋体"/>
                <w:sz w:val="24"/>
              </w:rPr>
              <w:t>26.网页木马监控服务</w:t>
            </w:r>
          </w:p>
          <w:p>
            <w:pPr>
              <w:pStyle w:val="4"/>
              <w:jc w:val="left"/>
            </w:pPr>
            <w:r>
              <w:rPr>
                <w:rFonts w:ascii="宋体" w:hAnsi="宋体" w:eastAsia="宋体" w:cs="宋体"/>
                <w:sz w:val="24"/>
              </w:rPr>
              <w:t>实时对网页木马进行监控，实时监测黑客上传、访问webshell（网站后门），能在及时发现网页木马并生成相关的告警。</w:t>
            </w:r>
          </w:p>
          <w:p>
            <w:pPr>
              <w:pStyle w:val="4"/>
              <w:jc w:val="left"/>
            </w:pPr>
            <w:r>
              <w:rPr>
                <w:rFonts w:ascii="宋体" w:hAnsi="宋体" w:eastAsia="宋体" w:cs="宋体"/>
                <w:sz w:val="24"/>
              </w:rPr>
              <w:t>27.系统操作风险感知服务</w:t>
            </w:r>
          </w:p>
          <w:p>
            <w:pPr>
              <w:pStyle w:val="4"/>
              <w:jc w:val="left"/>
            </w:pPr>
            <w:r>
              <w:rPr>
                <w:rFonts w:ascii="宋体" w:hAnsi="宋体" w:eastAsia="宋体" w:cs="宋体"/>
                <w:sz w:val="24"/>
              </w:rPr>
              <w:t>监控黑客入侵过程中修改系统账号、权限控制、创建敏感文件等行为，能及时生成相关的告警。</w:t>
            </w:r>
          </w:p>
          <w:p>
            <w:pPr>
              <w:pStyle w:val="4"/>
              <w:jc w:val="left"/>
            </w:pPr>
            <w:r>
              <w:rPr>
                <w:rFonts w:ascii="宋体" w:hAnsi="宋体" w:eastAsia="宋体" w:cs="宋体"/>
                <w:sz w:val="24"/>
              </w:rPr>
              <w:t>28.系统配置风险感知服务</w:t>
            </w:r>
          </w:p>
          <w:p>
            <w:pPr>
              <w:pStyle w:val="4"/>
              <w:jc w:val="left"/>
            </w:pPr>
            <w:r>
              <w:rPr>
                <w:rFonts w:ascii="宋体" w:hAnsi="宋体" w:eastAsia="宋体" w:cs="宋体"/>
                <w:sz w:val="24"/>
              </w:rPr>
              <w:t>监控云主机安全配置变更状态，包括：身份鉴别、访问控制、安全审计、剩余信息保护等方面，一旦监控配置发生变更，能及时产生相关的告警。</w:t>
            </w:r>
          </w:p>
          <w:p>
            <w:pPr>
              <w:pStyle w:val="4"/>
              <w:jc w:val="left"/>
            </w:pPr>
            <w:r>
              <w:rPr>
                <w:rFonts w:ascii="宋体" w:hAnsi="宋体" w:eastAsia="宋体" w:cs="宋体"/>
                <w:sz w:val="24"/>
              </w:rPr>
              <w:t>29.主机异常流量监控服务</w:t>
            </w:r>
          </w:p>
          <w:p>
            <w:pPr>
              <w:pStyle w:val="4"/>
              <w:jc w:val="left"/>
            </w:pPr>
            <w:r>
              <w:rPr>
                <w:rFonts w:ascii="宋体" w:hAnsi="宋体" w:eastAsia="宋体" w:cs="宋体"/>
                <w:sz w:val="24"/>
              </w:rPr>
              <w:t>对主机系统的进程、网络连接、异常DNS请求、可疑后门等进行安全监测，结合内置威胁情报，及时发现恶意IP与恶意域名。</w:t>
            </w:r>
          </w:p>
          <w:p>
            <w:pPr>
              <w:pStyle w:val="4"/>
              <w:jc w:val="left"/>
            </w:pPr>
            <w:r>
              <w:rPr>
                <w:rFonts w:ascii="宋体" w:hAnsi="宋体" w:eastAsia="宋体" w:cs="宋体"/>
                <w:sz w:val="24"/>
              </w:rPr>
              <w:t>30.入侵风险感知展示服务</w:t>
            </w:r>
          </w:p>
          <w:p>
            <w:pPr>
              <w:pStyle w:val="4"/>
              <w:jc w:val="left"/>
            </w:pPr>
            <w:r>
              <w:rPr>
                <w:rFonts w:ascii="宋体" w:hAnsi="宋体" w:eastAsia="宋体" w:cs="宋体"/>
                <w:sz w:val="24"/>
              </w:rPr>
              <w:t>一年365天7*24小时在主机监控页面上能实时直观展现资产信息、告警趋势、监控详情、系统配置监控、采集记录情况。风险感知展示详细资产信息包含：分组、IP地址/MAC、主机代号、资产名称、主机名、操作系统、最近通信时间等。</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安全感知与运营管理服务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31.通过安全态势感知平台以及结合人工专家分析，提供安全感知与运营管理服务；对网络中各个节点的流量和安全数据进行采集，以大数据分析为基础，结合威胁情报、行为分析建模、UEBA、关联分析、机器学习、大数据关联分析、可视化平台等技术精准检测安全威胁，深度可视安全风险，全面感知安全态势，实现安全架构从被动防御到主动防御的升级，达到从局部安全提升为全局安全、从单点预警提升为协同预警、从模糊管理提升为量化管理的效果。输出《综合安全风险报告》。</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APP安全服务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32.保护应用远离恶意破解、反编译、二次打包，内存抓取等威胁，同时给应用提供数据加密、签名校验、防内存修改、完整性校验、应用安全检测等保护。</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4次/年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应急演练服务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33.通过模拟真实黑客攻击场景，切合实际业务环境，进行网络安全应急演练，提供安全人员的应急处置能力，以及熟悉应急处置流程。按照采购人单位厅内实际需求，提供符合采购人单位厅内网络安全情况的应急演练方案至少提供1份应急演练方案。</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vMerge w:val="continue"/>
            <w:tcBorders>
              <w:top w:val="nil"/>
              <w:left w:val="single" w:color="000000" w:sz="4" w:space="0"/>
              <w:bottom w:val="nil"/>
              <w:right w:val="single" w:color="000000" w:sz="4" w:space="0"/>
            </w:tcBorders>
          </w:tcP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jc w:val="center"/>
            </w:pPr>
            <w:r>
              <w:rPr>
                <w:rFonts w:ascii="宋体" w:hAnsi="宋体" w:eastAsia="宋体" w:cs="宋体"/>
                <w:color w:val="000000"/>
                <w:sz w:val="24"/>
              </w:rPr>
              <w:t>实战攻防演练服务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jc w:val="left"/>
            </w:pPr>
            <w:r>
              <w:rPr>
                <w:rFonts w:ascii="宋体" w:hAnsi="宋体" w:eastAsia="宋体" w:cs="宋体"/>
                <w:sz w:val="24"/>
              </w:rPr>
              <w:t>34.提供行业攻防演练组织与攻击服务，针对直属单位、市县单位组织一场实战攻防演练，提供演练攻击服务，通过实战演练检验直属单位、市县单位的网络安全管理制度、技术、人员等方面建设成果的有效性。</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1次/年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商用密码应用测评</w:t>
            </w:r>
          </w:p>
        </w:tc>
        <w:tc>
          <w:tcPr>
            <w:tcW w:w="79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jc w:val="center"/>
            </w:pPr>
            <w:r>
              <w:rPr>
                <w:rFonts w:ascii="宋体" w:hAnsi="宋体" w:eastAsia="宋体" w:cs="宋体"/>
                <w:color w:val="000000"/>
                <w:sz w:val="24"/>
              </w:rPr>
              <w:t>商用密码应用安全测评服务</w:t>
            </w:r>
          </w:p>
        </w:tc>
        <w:tc>
          <w:tcPr>
            <w:tcW w:w="56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spacing w:before="105" w:after="105"/>
              <w:jc w:val="left"/>
            </w:pPr>
            <w:r>
              <w:rPr>
                <w:rFonts w:ascii="宋体" w:hAnsi="宋体" w:eastAsia="宋体" w:cs="宋体"/>
                <w:sz w:val="24"/>
              </w:rPr>
              <w:t>35.从国家密码管理局发布的《商用密码应用安全性评估试点机构目录》中邀请密码评估机构，对福建省交通信息通信与应急处置中心6个等保三级系统开展商用密码应用安全性评估。</w:t>
            </w:r>
          </w:p>
          <w:p>
            <w:pPr>
              <w:pStyle w:val="4"/>
              <w:spacing w:before="105" w:after="105"/>
              <w:jc w:val="left"/>
            </w:pPr>
            <w:r>
              <w:rPr>
                <w:rFonts w:ascii="宋体" w:hAnsi="宋体" w:eastAsia="宋体" w:cs="宋体"/>
                <w:color w:val="000000"/>
                <w:sz w:val="24"/>
              </w:rPr>
              <w:t>评估的系统包括：福建省道路运输车辆卫星定位公共服务平台、福建省交通运输厅门户网站系统、福建省交通运输数据资源汇聚工程（一期）、福建省交通运输厅财务综合管理一体化平台、福建省交通运输安全监管标准化管理系统、福建省机动车驾驶培训管理系统。</w:t>
            </w:r>
          </w:p>
        </w:tc>
        <w:tc>
          <w:tcPr>
            <w:tcW w:w="10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color w:val="000000"/>
                <w:sz w:val="24"/>
              </w:rPr>
              <w:t>1次/年</w:t>
            </w:r>
          </w:p>
        </w:tc>
      </w:tr>
    </w:tbl>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自合同签订之日起365日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福建省福州市鼓楼区东水路18号交通综合大楼28层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验收合格后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1、期次1，说明：合同签订之日起，第一季度完成服务内容，并及时提供相应服务内容的报告。</w:t>
            </w:r>
          </w:p>
          <w:p>
            <w:pPr>
              <w:pStyle w:val="4"/>
              <w:jc w:val="left"/>
            </w:pPr>
            <w:r>
              <w:t>2、期次2，说明：第二季度完成服务内容，并及时提供相应服务内容的报告。</w:t>
            </w:r>
          </w:p>
          <w:p>
            <w:pPr>
              <w:pStyle w:val="4"/>
              <w:jc w:val="left"/>
            </w:pPr>
            <w:r>
              <w:t>3、期次3，说明：第三季度完成服务内容，并及时提供相应服务内容的报告。</w:t>
            </w:r>
          </w:p>
          <w:p>
            <w:pPr>
              <w:pStyle w:val="4"/>
              <w:jc w:val="left"/>
            </w:pPr>
            <w:r>
              <w:t>4、期次4，说明：第四季度完成服务内容，并及时提供相应服务内容的报告。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1、合同签订，达到付款条件起10日内，支付合同总金额的20.00%</w:t>
            </w:r>
          </w:p>
          <w:p>
            <w:pPr>
              <w:pStyle w:val="4"/>
              <w:jc w:val="left"/>
            </w:pPr>
            <w:r>
              <w:t>2、服务执行6个月后，进行第一次考核，通过采购人组织的项目半年验收后按考核及支付标准进行支付。考核分达到90分（含90分）以上，达到付款条件起10日内，支付合同总金额的35.00%</w:t>
            </w:r>
          </w:p>
          <w:p>
            <w:pPr>
              <w:pStyle w:val="4"/>
              <w:jc w:val="left"/>
            </w:pPr>
            <w:r>
              <w:t>3、服务执行完毕后，进行第二次考核，通过采购人组织的项目整体验收后按考核及支付标准进行支付。考核分达到90分（含90分）以上，达到付款条件起10日内，支付合同总金额的45.00%</w:t>
            </w:r>
          </w:p>
        </w:tc>
      </w:tr>
    </w:tbl>
    <w:p>
      <w:pPr>
        <w:pStyle w:val="4"/>
        <w:jc w:val="left"/>
      </w:pPr>
      <w:r>
        <w:t>其他商务要求</w:t>
      </w:r>
    </w:p>
    <w:p>
      <w:pPr>
        <w:pStyle w:val="4"/>
        <w:ind w:firstLine="480"/>
        <w:jc w:val="left"/>
      </w:pPr>
      <w:r>
        <w:rPr>
          <w:rFonts w:ascii="宋体" w:hAnsi="宋体" w:eastAsia="宋体" w:cs="宋体"/>
          <w:sz w:val="24"/>
        </w:rPr>
        <w:t>7、以每三个月为一个服务周期，在规定的服务周期内，如果发生安全事故、发生被相关单位通报事件等，采购人有权利不支付服务周期的安全服务费用，视情节严重程度，采购人可单方面中止合同。</w:t>
      </w:r>
    </w:p>
    <w:p>
      <w:pPr>
        <w:pStyle w:val="4"/>
        <w:ind w:firstLine="480"/>
        <w:jc w:val="both"/>
      </w:pPr>
      <w:r>
        <w:rPr>
          <w:rFonts w:ascii="宋体" w:hAnsi="宋体" w:eastAsia="宋体" w:cs="宋体"/>
          <w:sz w:val="24"/>
          <w:shd w:val="clear" w:fill="FFFFFF"/>
        </w:rPr>
        <w:t>8、原有设备维保服务要求</w:t>
      </w:r>
    </w:p>
    <w:p>
      <w:pPr>
        <w:pStyle w:val="4"/>
        <w:ind w:firstLine="480"/>
      </w:pPr>
      <w:r>
        <w:rPr>
          <w:rFonts w:ascii="宋体" w:hAnsi="宋体" w:eastAsia="宋体" w:cs="宋体"/>
          <w:sz w:val="24"/>
          <w:shd w:val="clear" w:fill="FFFFFF"/>
        </w:rPr>
        <w:t>须承诺对采购人单位原有安全设备提供一年维保服务，设备维保服务支持保修期内提供免费上门，免费维修（含配件更换）服务，在保修期内定期回访、维护，有问题做到及时处理。</w:t>
      </w:r>
    </w:p>
    <w:p>
      <w:pPr>
        <w:pStyle w:val="4"/>
        <w:ind w:firstLine="480"/>
      </w:pPr>
      <w:r>
        <w:rPr>
          <w:rFonts w:ascii="宋体" w:hAnsi="宋体" w:eastAsia="宋体" w:cs="宋体"/>
          <w:sz w:val="24"/>
        </w:rPr>
        <w:t>主机安全风险监控服务部分：针对互联网系统的主机不超过400台,服务期限一年。</w:t>
      </w:r>
    </w:p>
    <w:p>
      <w:pPr>
        <w:pStyle w:val="4"/>
        <w:ind w:firstLine="480"/>
      </w:pPr>
      <w:r>
        <w:rPr>
          <w:rFonts w:ascii="宋体" w:hAnsi="宋体" w:eastAsia="宋体" w:cs="宋体"/>
          <w:sz w:val="24"/>
          <w:shd w:val="clear" w:fill="FFFFFF"/>
        </w:rPr>
        <w:t>投标人须提供以上两点服务内容（7、8）的专项服务承诺函，承诺函格式自拟，未提供按无效标处理。</w:t>
      </w:r>
    </w:p>
    <w:p>
      <w:pPr>
        <w:pStyle w:val="4"/>
        <w:ind w:firstLine="480"/>
      </w:pPr>
      <w:r>
        <w:t xml:space="preserve"> </w:t>
      </w:r>
      <w:r>
        <w:rPr>
          <w:rFonts w:ascii="宋体" w:hAnsi="宋体" w:eastAsia="宋体" w:cs="宋体"/>
          <w:sz w:val="24"/>
          <w:shd w:val="clear" w:fill="FFFFFF"/>
        </w:rPr>
        <w:t>9、驻点服务要求</w:t>
      </w:r>
    </w:p>
    <w:p>
      <w:pPr>
        <w:pStyle w:val="4"/>
        <w:ind w:firstLine="480"/>
      </w:pPr>
      <w:r>
        <w:rPr>
          <w:rFonts w:ascii="宋体" w:hAnsi="宋体" w:eastAsia="宋体" w:cs="宋体"/>
          <w:sz w:val="24"/>
          <w:shd w:val="clear" w:fill="FFFFFF"/>
        </w:rPr>
        <w:t>1、主要工作内容要求</w:t>
      </w:r>
    </w:p>
    <w:p>
      <w:pPr>
        <w:pStyle w:val="4"/>
        <w:ind w:firstLine="480"/>
      </w:pPr>
      <w:r>
        <w:rPr>
          <w:rFonts w:ascii="宋体" w:hAnsi="宋体" w:eastAsia="宋体" w:cs="宋体"/>
          <w:sz w:val="24"/>
          <w:shd w:val="clear" w:fill="FFFFFF"/>
        </w:rPr>
        <w:t>（1）驻点服务</w:t>
      </w:r>
    </w:p>
    <w:p>
      <w:pPr>
        <w:pStyle w:val="4"/>
        <w:ind w:firstLine="480"/>
      </w:pPr>
      <w:r>
        <w:rPr>
          <w:rFonts w:ascii="宋体" w:hAnsi="宋体" w:eastAsia="宋体" w:cs="宋体"/>
          <w:sz w:val="24"/>
          <w:shd w:val="clear" w:fill="FFFFFF"/>
        </w:rPr>
        <w:t>1）提供2名工作人员驻点采购人单位现场提供服务。</w:t>
      </w:r>
    </w:p>
    <w:p>
      <w:pPr>
        <w:pStyle w:val="4"/>
        <w:ind w:firstLine="480"/>
      </w:pPr>
      <w:r>
        <w:rPr>
          <w:rFonts w:ascii="宋体" w:hAnsi="宋体" w:eastAsia="宋体" w:cs="宋体"/>
          <w:sz w:val="24"/>
          <w:shd w:val="clear" w:fill="FFFFFF"/>
        </w:rPr>
        <w:t>2）2名工作人员须驻点业主单位指定的办公地点，上班时间以采购人单位安排为准，并受采购人单位管理。</w:t>
      </w:r>
    </w:p>
    <w:p>
      <w:pPr>
        <w:pStyle w:val="4"/>
        <w:ind w:firstLine="480"/>
      </w:pPr>
      <w:r>
        <w:rPr>
          <w:rFonts w:ascii="宋体" w:hAnsi="宋体" w:eastAsia="宋体" w:cs="宋体"/>
          <w:sz w:val="24"/>
          <w:shd w:val="clear" w:fill="FFFFFF"/>
        </w:rPr>
        <w:t>3）驻点工作人员须通过专业的面试考核通过</w:t>
      </w:r>
      <w:r>
        <w:rPr>
          <w:rFonts w:hint="eastAsia" w:ascii="宋体" w:hAnsi="宋体" w:eastAsia="宋体" w:cs="宋体"/>
          <w:sz w:val="24"/>
          <w:shd w:val="clear" w:fill="FFFFFF"/>
          <w:lang w:eastAsia="zh-CN"/>
        </w:rPr>
        <w:t>后</w:t>
      </w:r>
      <w:r>
        <w:rPr>
          <w:rFonts w:ascii="宋体" w:hAnsi="宋体" w:eastAsia="宋体" w:cs="宋体"/>
          <w:sz w:val="24"/>
          <w:shd w:val="clear" w:fill="FFFFFF"/>
        </w:rPr>
        <w:t>,正式入驻采购人单位。合同期内，驻点工作人员无正当理由在未经双方共同同意下自行离职，运维单位需重新派遣的工作人员并经采购人单位同意。</w:t>
      </w:r>
    </w:p>
    <w:p>
      <w:pPr>
        <w:pStyle w:val="4"/>
        <w:ind w:firstLine="480"/>
      </w:pPr>
      <w:r>
        <w:rPr>
          <w:rFonts w:ascii="宋体" w:hAnsi="宋体" w:eastAsia="宋体" w:cs="宋体"/>
          <w:sz w:val="24"/>
          <w:shd w:val="clear" w:fill="FFFFFF"/>
        </w:rPr>
        <w:t>（2）应急响应</w:t>
      </w:r>
    </w:p>
    <w:p>
      <w:pPr>
        <w:pStyle w:val="4"/>
        <w:ind w:firstLine="480"/>
      </w:pPr>
      <w:r>
        <w:rPr>
          <w:rFonts w:ascii="宋体" w:hAnsi="宋体" w:eastAsia="宋体" w:cs="宋体"/>
          <w:sz w:val="24"/>
          <w:shd w:val="clear" w:fill="FFFFFF"/>
        </w:rPr>
        <w:t>1）提供全年7*24小时响应服务(工作日现场5天，远程每天24小时应急服务)。</w:t>
      </w:r>
    </w:p>
    <w:p>
      <w:pPr>
        <w:pStyle w:val="4"/>
        <w:ind w:firstLine="480"/>
      </w:pPr>
      <w:r>
        <w:rPr>
          <w:rFonts w:ascii="宋体" w:hAnsi="宋体" w:eastAsia="宋体" w:cs="宋体"/>
          <w:sz w:val="24"/>
          <w:shd w:val="clear" w:fill="FFFFFF"/>
        </w:rPr>
        <w:t>2）上班时间：提供现场实时响应。</w:t>
      </w:r>
    </w:p>
    <w:p>
      <w:pPr>
        <w:pStyle w:val="4"/>
        <w:ind w:firstLine="480"/>
      </w:pPr>
      <w:r>
        <w:rPr>
          <w:rFonts w:ascii="宋体" w:hAnsi="宋体" w:eastAsia="宋体" w:cs="宋体"/>
          <w:sz w:val="24"/>
          <w:shd w:val="clear" w:fill="FFFFFF"/>
        </w:rPr>
        <w:t>3）其它时间：故障响应时间为5分钟响应，30分钟到达现场。</w:t>
      </w:r>
    </w:p>
    <w:p>
      <w:pPr>
        <w:pStyle w:val="4"/>
        <w:ind w:firstLine="480"/>
      </w:pPr>
      <w:r>
        <w:rPr>
          <w:rFonts w:ascii="宋体" w:hAnsi="宋体" w:eastAsia="宋体" w:cs="宋体"/>
          <w:sz w:val="24"/>
          <w:shd w:val="clear" w:fill="FFFFFF"/>
        </w:rPr>
        <w:t>（3）本项目的网络安全相关的文档整理</w:t>
      </w:r>
    </w:p>
    <w:p>
      <w:pPr>
        <w:pStyle w:val="4"/>
        <w:ind w:firstLine="480"/>
      </w:pPr>
      <w:r>
        <w:rPr>
          <w:rFonts w:ascii="宋体" w:hAnsi="宋体" w:eastAsia="宋体" w:cs="宋体"/>
          <w:sz w:val="24"/>
          <w:shd w:val="clear" w:fill="FFFFFF"/>
        </w:rPr>
        <w:t>1）日常维护过程中所产生的文档，需装订成册。</w:t>
      </w:r>
    </w:p>
    <w:p>
      <w:pPr>
        <w:pStyle w:val="4"/>
        <w:ind w:firstLine="480"/>
      </w:pPr>
      <w:r>
        <w:rPr>
          <w:rFonts w:ascii="宋体" w:hAnsi="宋体" w:eastAsia="宋体" w:cs="宋体"/>
          <w:sz w:val="24"/>
          <w:shd w:val="clear" w:fill="FFFFFF"/>
        </w:rPr>
        <w:t>2、服务时间</w:t>
      </w:r>
    </w:p>
    <w:p>
      <w:pPr>
        <w:pStyle w:val="4"/>
        <w:ind w:firstLine="480"/>
      </w:pPr>
      <w:r>
        <w:rPr>
          <w:rFonts w:ascii="宋体" w:hAnsi="宋体" w:eastAsia="宋体" w:cs="宋体"/>
          <w:sz w:val="24"/>
          <w:shd w:val="clear" w:fill="FFFFFF"/>
        </w:rPr>
        <w:t>接收服务请求和咨询：在5*8小时工作时间内由驻地人员2名负责响应处理。非工作日至少1名负责远程响应处理，并设置安排专人7*24小时远程检测相关网络和系统的运行状态并接听的移动电话热线，按照采购人要求在突发情况下1小时内到达现场。在重要会议保障期间，安排专人7*24小时现场值班值守。</w:t>
      </w:r>
    </w:p>
    <w:p>
      <w:pPr>
        <w:pStyle w:val="4"/>
        <w:ind w:firstLine="480"/>
      </w:pPr>
      <w:r>
        <w:rPr>
          <w:rFonts w:ascii="宋体" w:hAnsi="宋体" w:eastAsia="宋体" w:cs="宋体"/>
          <w:sz w:val="24"/>
        </w:rPr>
        <w:t>★</w:t>
      </w:r>
      <w:r>
        <w:rPr>
          <w:rFonts w:ascii="宋体" w:hAnsi="宋体" w:eastAsia="宋体" w:cs="宋体"/>
          <w:sz w:val="24"/>
          <w:shd w:val="clear" w:fill="FFFFFF"/>
        </w:rPr>
        <w:t>10、考核及支付标准</w:t>
      </w:r>
    </w:p>
    <w:p>
      <w:pPr>
        <w:pStyle w:val="4"/>
        <w:ind w:firstLine="480"/>
      </w:pPr>
      <w:r>
        <w:rPr>
          <w:rFonts w:ascii="宋体" w:hAnsi="宋体" w:eastAsia="宋体" w:cs="宋体"/>
          <w:sz w:val="24"/>
          <w:shd w:val="clear" w:fill="FFFFFF"/>
        </w:rPr>
        <w:t>考核参照指标表</w:t>
      </w:r>
    </w:p>
    <w:p>
      <w:pPr>
        <w:pStyle w:val="4"/>
        <w:ind w:firstLine="480"/>
      </w:pPr>
      <w:r>
        <w:rPr>
          <w:rFonts w:ascii="宋体" w:hAnsi="宋体" w:eastAsia="宋体" w:cs="宋体"/>
          <w:sz w:val="24"/>
          <w:shd w:val="clear" w:fill="FFFFFF"/>
        </w:rPr>
        <w:t>考核内容如下：</w:t>
      </w:r>
    </w:p>
    <w:tbl>
      <w:tblPr>
        <w:tblStyle w:val="3"/>
        <w:tblW w:w="8307" w:type="dxa"/>
        <w:tblInd w:w="27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2968"/>
        <w:gridCol w:w="463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序号</w:t>
            </w:r>
          </w:p>
        </w:tc>
        <w:tc>
          <w:tcPr>
            <w:tcW w:w="2968"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考核要求</w:t>
            </w:r>
          </w:p>
        </w:tc>
        <w:tc>
          <w:tcPr>
            <w:tcW w:w="463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考核情况（总分100）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1</w:t>
            </w:r>
          </w:p>
        </w:tc>
        <w:tc>
          <w:tcPr>
            <w:tcW w:w="2968"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取得本合同所约定的信息系统对应的等级保护测评报告和</w:t>
            </w:r>
            <w:r>
              <w:rPr>
                <w:rFonts w:ascii="宋体" w:hAnsi="宋体" w:eastAsia="宋体" w:cs="宋体"/>
                <w:color w:val="000000"/>
                <w:sz w:val="24"/>
              </w:rPr>
              <w:t>商用密码应用安全测评报告</w:t>
            </w:r>
            <w:r>
              <w:rPr>
                <w:rFonts w:ascii="宋体" w:hAnsi="宋体" w:eastAsia="宋体" w:cs="宋体"/>
                <w:sz w:val="24"/>
              </w:rPr>
              <w:t>，并在服务期间内，能够按时完成测评，通过甲方以及上级领导部门和相关机构的复查。</w:t>
            </w:r>
          </w:p>
        </w:tc>
        <w:tc>
          <w:tcPr>
            <w:tcW w:w="4635"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（30分）等级保护测评报告和</w:t>
            </w:r>
            <w:r>
              <w:rPr>
                <w:rFonts w:ascii="宋体" w:hAnsi="宋体" w:eastAsia="宋体" w:cs="宋体"/>
                <w:color w:val="000000"/>
                <w:sz w:val="24"/>
              </w:rPr>
              <w:t>商用密码应用安全测评报告</w:t>
            </w:r>
            <w:r>
              <w:rPr>
                <w:rFonts w:ascii="宋体" w:hAnsi="宋体" w:eastAsia="宋体" w:cs="宋体"/>
                <w:sz w:val="24"/>
              </w:rPr>
              <w:t>为强制性要求，如果乙方没取得任一相关测评报告，甲方有权不支付全部年度服务总金额给乙方；未取得一份系统测评报告的，则每缺一份报告扣乙方当年服务考核分5分；本项最多扣30分。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2</w:t>
            </w:r>
          </w:p>
        </w:tc>
        <w:tc>
          <w:tcPr>
            <w:tcW w:w="2968"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按照合同和服务项目约定，各服务项目输出相应书面检测报告包括漏扫报告、基线检查报告、渗透测试报告以及工作日报、安全事件分析报告、巡检报告等给甲方。</w:t>
            </w:r>
          </w:p>
        </w:tc>
        <w:tc>
          <w:tcPr>
            <w:tcW w:w="4635"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30分）甲方检查乙方提供的各项书面报告是否完整，每缺失一份，则扣乙方当年服务考核分3分；乙方提供的各项书面报告内容不符合合同或甲方要求的，则每次扣乙方当年服务考核分2分；乙方延迟完成各项书面报告的，每次扣乙方当年服务考核分1分；本项最多扣30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3</w:t>
            </w:r>
          </w:p>
        </w:tc>
        <w:tc>
          <w:tcPr>
            <w:tcW w:w="2968"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应用系统安全检测服务,存在漏洞和安全风险提供相应的整改建议，对系统安全测试质量进行考核。</w:t>
            </w:r>
          </w:p>
        </w:tc>
        <w:tc>
          <w:tcPr>
            <w:tcW w:w="4635"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20分）甲方对检测出漏洞和风险分析的情况进行考核：发现漏洞后乙方及时提供处置建议则甲方不扣乙方当年服务考核分；存在已公开漏洞但乙方未及时提供处置建议的，则在0-5分之间扣乙方当年服务考核分；乙方未发现已公开漏洞并未提供处置建议每次扣乙方当年服务考核分5分；本项最多扣20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4</w:t>
            </w:r>
          </w:p>
        </w:tc>
        <w:tc>
          <w:tcPr>
            <w:tcW w:w="2968"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重大网络安全事故及通报：发生重大入侵事件受到相关主管部门或监管部门通报,或数据泄露通报，发生重大数据泄露受到主管部门或监管部门通报。</w:t>
            </w:r>
          </w:p>
        </w:tc>
        <w:tc>
          <w:tcPr>
            <w:tcW w:w="4635"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（10分）按年考核，发生1次通报扣乙方当年服务考核分5分，通报2小时内乙方未响应的，每次扣乙方当年服务考核分2分，本项最多扣乙方当年服务考核分10分。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04"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5</w:t>
            </w:r>
          </w:p>
        </w:tc>
        <w:tc>
          <w:tcPr>
            <w:tcW w:w="2968"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对乙方网络安全服务的现场应急服务，对特殊时期、敏感时期、重大节假日安全保障效果进行考核。</w:t>
            </w:r>
          </w:p>
        </w:tc>
        <w:tc>
          <w:tcPr>
            <w:tcW w:w="4635" w:type="dxa"/>
            <w:tcBorders>
              <w:top w:val="nil"/>
              <w:left w:val="nil"/>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4"/>
              </w:rPr>
              <w:t>（10分）网络事件、网络安全检查、安全故障等情况，安全服务处置效果佳（根据成果报告评定），效果不佳扣乙方当年服务考核分2分，效果不佳累计达到5次的，甲方有权不支付全部年度服务总金额给乙方。</w:t>
            </w:r>
          </w:p>
        </w:tc>
      </w:tr>
    </w:tbl>
    <w:p>
      <w:pPr>
        <w:pStyle w:val="4"/>
        <w:ind w:firstLine="480"/>
        <w:jc w:val="both"/>
      </w:pPr>
      <w:r>
        <w:rPr>
          <w:rFonts w:ascii="宋体" w:hAnsi="宋体" w:eastAsia="宋体" w:cs="宋体"/>
          <w:sz w:val="24"/>
        </w:rPr>
        <w:t>项目考核每半年度付款一次，第一次考核服务费总额为合同总金额的35%，第二次考核服务费总额为合同总金额的 45%,由福建省交通信息通信与应急处置中心结合工作实际进行考核，考核办法满分为 100分，该分数将作为服务费用支出的依据。当次考核分数高于 90 分(含 90 分)，支付当次考核总额的 100%为服务费;考核分数 89-80 分，支付当次考核总额的 80%为服务费;考核分数 79-70分，支付当次考核总额的 70%为服务费;考核分数 69-60 分，支付当次考核总额的60%为服务费。若不能满足本招标文件、合同相关条款规定服务要求，且考核低于60 分的，采购人将扣除本期服务费，并将签订合同时支付的合同总金额的20.00%预付款退还至采购人。</w:t>
      </w:r>
    </w:p>
    <w:p>
      <w:pPr>
        <w:pStyle w:val="4"/>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17.5本合同已用于政府采购合同融资，为本项目提供合同融资的金融机构为：_______，甲方应及时将资金支付到本合同乙方账号。</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w:t>
      </w:r>
      <w:r>
        <w:rPr>
          <w:rFonts w:hint="eastAsia"/>
          <w:lang w:eastAsia="zh-CN"/>
        </w:rPr>
        <w:t>法》</w:t>
      </w:r>
      <w:r>
        <w:t>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w:t>
            </w:r>
          </w:p>
        </w:tc>
        <w:tc>
          <w:tcPr>
            <w:tcW w:w="923" w:type="dxa"/>
          </w:tcPr>
          <w:p>
            <w:pPr>
              <w:pStyle w:val="4"/>
              <w:jc w:val="left"/>
            </w:pPr>
            <w:r>
              <w:t>数量</w:t>
            </w:r>
          </w:p>
        </w:tc>
        <w:tc>
          <w:tcPr>
            <w:tcW w:w="923" w:type="dxa"/>
          </w:tcPr>
          <w:p>
            <w:pPr>
              <w:pStyle w:val="4"/>
              <w:jc w:val="left"/>
            </w:pPr>
            <w:r>
              <w:t>总价</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1.4同一采购包中，“单价”×“数量”=“总价”，全部品目号“总价”的合计金额应与《开标一览表》中相应采购包列示的“投标总价”保持一致。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w:t>
            </w:r>
          </w:p>
        </w:tc>
        <w:tc>
          <w:tcPr>
            <w:tcW w:w="1187" w:type="dxa"/>
          </w:tcPr>
          <w:p>
            <w:pPr>
              <w:pStyle w:val="4"/>
              <w:jc w:val="left"/>
            </w:pPr>
            <w:r>
              <w:t>数量</w:t>
            </w:r>
          </w:p>
        </w:tc>
        <w:tc>
          <w:tcPr>
            <w:tcW w:w="1187" w:type="dxa"/>
          </w:tcPr>
          <w:p>
            <w:pPr>
              <w:pStyle w:val="4"/>
              <w:jc w:val="left"/>
            </w:pPr>
            <w:r>
              <w:t>总价</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报价</w:t>
            </w:r>
          </w:p>
        </w:tc>
        <w:tc>
          <w:tcPr>
            <w:tcW w:w="7122" w:type="dxa"/>
            <w:gridSpan w:val="6"/>
          </w:tcPr>
          <w:p>
            <w:pPr>
              <w:pStyle w:val="4"/>
              <w:jc w:val="left"/>
            </w:pPr>
            <w:r>
              <w:t>采购包内属于节能、环境标志产品的报价总金额：</w:t>
            </w:r>
            <w:r>
              <w:rPr>
                <w:u w:val="single"/>
              </w:rPr>
              <w:t>　　　　　</w:t>
            </w:r>
            <w:r>
              <w:t>。</w:t>
            </w:r>
          </w:p>
        </w:tc>
      </w:tr>
    </w:tbl>
    <w:p>
      <w:pPr>
        <w:pStyle w:val="4"/>
        <w:ind w:firstLine="480"/>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w:t>
      </w:r>
    </w:p>
    <w:p>
      <w:pPr>
        <w:pStyle w:val="4"/>
        <w:ind w:firstLine="480"/>
        <w:jc w:val="left"/>
      </w:pPr>
      <w:r>
        <w:t>3.4若无节能、环境标志产品，不填写本表。</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4C5627A"/>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ScaleCrop>false</ScaleCrop>
  <LinksUpToDate>false</LinksUpToDate>
  <CharactersWithSpaces>11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2025-10-28T02:14:04Z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1DF11BE3B0614F7593793AC4C15C213C_12</vt:lpwstr>
  </property>
</Properties>
</file>