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bookmarkEnd w:id="0"/>
      <w:r>
        <w:br/>
      </w:r>
    </w:p>
    <w:p>
      <w:pPr>
        <w:pStyle w:val="null3"/>
        <w:outlineLvl w:val="0"/>
      </w:pPr>
      <w:r>
        <w:rPr>
          <w:sz w:val="48"/>
          <w:b/>
        </w:rPr>
        <w:t>福建省政府采购</w:t>
      </w:r>
    </w:p>
    <w:p>
      <w:pPr>
        <w:pStyle w:val="null3"/>
        <w:jc w:val="center"/>
        <w:outlineLvl w:val="0"/>
      </w:pPr>
      <w:r>
        <w:rPr>
          <w:sz w:val="48"/>
          <w:b/>
        </w:rPr>
        <w:t>货物和服务项目</w:t>
      </w:r>
    </w:p>
    <w:p>
      <w:pPr>
        <w:pStyle w:val="null3"/>
        <w:jc w:val="center"/>
        <w:outlineLvl w:val="0"/>
      </w:pPr>
      <w:r>
        <w:rPr>
          <w:sz w:val="48"/>
          <w:b/>
        </w:rPr>
        <w:t>公开招标文件</w:t>
      </w:r>
    </w:p>
    <w:p>
      <w:pPr>
        <w:pStyle w:val="null3"/>
        <w:jc w:val="center"/>
        <w:outlineLvl w:val="2"/>
      </w:pPr>
      <w:r>
        <w:rPr>
          <w:sz w:val="28"/>
          <w:b/>
        </w:rPr>
        <w:t>项目名称：</w:t>
      </w:r>
      <w:r>
        <w:rPr>
          <w:sz w:val="28"/>
          <w:b/>
        </w:rPr>
        <w:t>福建省交通信息通信与应急处置中心云资源租赁服务</w:t>
      </w:r>
    </w:p>
    <w:p>
      <w:pPr>
        <w:pStyle w:val="null3"/>
        <w:jc w:val="center"/>
        <w:outlineLvl w:val="2"/>
      </w:pPr>
      <w:r>
        <w:rPr>
          <w:sz w:val="28"/>
          <w:b/>
        </w:rPr>
        <w:t>备案编号：</w:t>
      </w:r>
      <w:r>
        <w:rPr>
          <w:sz w:val="28"/>
          <w:b/>
        </w:rPr>
        <w:t>CGXM-2024-350001-10711[2024]08713</w:t>
      </w:r>
    </w:p>
    <w:p>
      <w:pPr>
        <w:pStyle w:val="null3"/>
        <w:jc w:val="center"/>
        <w:outlineLvl w:val="2"/>
      </w:pPr>
      <w:r>
        <w:rPr>
          <w:sz w:val="28"/>
          <w:b/>
        </w:rPr>
        <w:t>项目编号：</w:t>
      </w:r>
      <w:r>
        <w:rPr>
          <w:sz w:val="28"/>
          <w:b/>
        </w:rPr>
        <w:t>[350001]FJGGZY[GK]2024071</w:t>
      </w:r>
    </w:p>
    <w:p>
      <w:pPr>
        <w:pStyle w:val="null3"/>
        <w:jc w:val="center"/>
        <w:outlineLvl w:val="2"/>
      </w:pPr>
      <w:r>
        <w:rPr>
          <w:sz w:val="28"/>
          <w:b/>
        </w:rPr>
        <w:t>采购人：</w:t>
      </w:r>
      <w:r>
        <w:rPr>
          <w:sz w:val="28"/>
          <w:b/>
        </w:rPr>
        <w:t>福建省交通信息通信与应急处置中心</w:t>
      </w:r>
    </w:p>
    <w:p>
      <w:pPr>
        <w:pStyle w:val="null3"/>
        <w:jc w:val="center"/>
        <w:outlineLvl w:val="2"/>
      </w:pPr>
      <w:r>
        <w:rPr>
          <w:sz w:val="28"/>
          <w:b/>
        </w:rPr>
        <w:t>代理机构：</w:t>
      </w:r>
      <w:r>
        <w:rPr>
          <w:sz w:val="28"/>
          <w:b/>
        </w:rPr>
        <w:t>福建省公共资源交易中心</w:t>
      </w:r>
    </w:p>
    <w:p>
      <w:pPr>
        <w:pStyle w:val="null3"/>
        <w:jc w:val="center"/>
        <w:outlineLvl w:val="2"/>
      </w:pPr>
      <w:r>
        <w:rPr>
          <w:sz w:val="28"/>
          <w:b/>
        </w:rPr>
        <w:t>编制时间</w:t>
      </w:r>
      <w:r>
        <w:rPr>
          <w:sz w:val="28"/>
          <w:b/>
        </w:rPr>
        <w:t>：</w:t>
      </w:r>
      <w:r>
        <w:rPr>
          <w:sz w:val="28"/>
          <w:b/>
        </w:rPr>
        <w:t>2024年11月</w:t>
      </w:r>
    </w:p>
    <w:p>
      <w:pPr>
        <w:pStyle w:val="null3"/>
      </w:pPr>
      <w:r>
        <w:rPr/>
        <w:t xml:space="preserve"> </w:t>
        <w:br/>
        <w:br w:type="page"/>
      </w:r>
    </w:p>
    <w:p>
      <w:pPr>
        <w:pStyle w:val="null3"/>
        <w:jc w:val="center"/>
        <w:outlineLvl w:val="1"/>
      </w:pPr>
      <w:r>
        <w:rPr>
          <w:sz w:val="36"/>
          <w:b/>
        </w:rPr>
        <w:t>第一章 投标邀请</w:t>
      </w:r>
    </w:p>
    <w:p>
      <w:pPr>
        <w:pStyle w:val="null3"/>
        <w:ind w:firstLine="480"/>
        <w:jc w:val="both"/>
      </w:pPr>
      <w:r>
        <w:rPr/>
        <w:t>福建省公共资源交易中心</w:t>
      </w:r>
      <w:r>
        <w:rPr/>
        <w:t xml:space="preserve"> 采用公开招标方式组织 </w:t>
      </w:r>
      <w:r>
        <w:rPr/>
        <w:t>福建省交通信息通信与应急处置中心云资源租赁服务</w:t>
      </w:r>
      <w:r>
        <w:rPr/>
        <w:t xml:space="preserve"> （以下简称：“本项目”）的政府采购活动，现邀请供应商参加投标。</w:t>
      </w:r>
    </w:p>
    <w:p>
      <w:pPr>
        <w:pStyle w:val="null3"/>
        <w:ind w:firstLine="480"/>
        <w:jc w:val="left"/>
        <w:outlineLvl w:val="2"/>
      </w:pPr>
      <w:r>
        <w:rPr>
          <w:sz w:val="28"/>
          <w:b/>
        </w:rPr>
        <w:t>1、备案编号</w:t>
      </w:r>
      <w:r>
        <w:rPr>
          <w:sz w:val="28"/>
          <w:b/>
        </w:rPr>
        <w:t>：</w:t>
      </w:r>
      <w:r>
        <w:rPr>
          <w:sz w:val="28"/>
          <w:b/>
        </w:rPr>
        <w:t>CGXM-2024-350001-10711[2024]08713</w:t>
      </w:r>
    </w:p>
    <w:p>
      <w:pPr>
        <w:pStyle w:val="null3"/>
        <w:ind w:firstLine="480"/>
        <w:jc w:val="left"/>
        <w:outlineLvl w:val="2"/>
      </w:pPr>
      <w:r>
        <w:rPr>
          <w:sz w:val="28"/>
          <w:b/>
        </w:rPr>
        <w:t>2、项目编号</w:t>
      </w:r>
      <w:r>
        <w:rPr>
          <w:sz w:val="28"/>
          <w:b/>
        </w:rPr>
        <w:t>：</w:t>
      </w:r>
      <w:r>
        <w:rPr>
          <w:sz w:val="28"/>
          <w:b/>
        </w:rPr>
        <w:t>[350001]FJGGZY[GK]2024071</w:t>
      </w:r>
    </w:p>
    <w:p>
      <w:pPr>
        <w:pStyle w:val="null3"/>
        <w:ind w:firstLine="480"/>
        <w:jc w:val="both"/>
        <w:outlineLvl w:val="2"/>
      </w:pPr>
      <w:r>
        <w:rPr>
          <w:sz w:val="28"/>
          <w:b/>
        </w:rPr>
        <w:t>3、预算金额、最高限价</w:t>
      </w:r>
      <w:r>
        <w:rPr>
          <w:sz w:val="28"/>
          <w:b/>
        </w:rPr>
        <w:t>：详见《采购标的一览表》。</w:t>
      </w:r>
    </w:p>
    <w:p>
      <w:pPr>
        <w:pStyle w:val="null3"/>
        <w:ind w:firstLine="480"/>
        <w:jc w:val="left"/>
        <w:outlineLvl w:val="2"/>
      </w:pPr>
      <w:r>
        <w:rPr>
          <w:sz w:val="28"/>
          <w:b/>
        </w:rPr>
        <w:t>4、招标内容及要求</w:t>
      </w:r>
      <w:r>
        <w:rPr>
          <w:sz w:val="28"/>
          <w:b/>
        </w:rPr>
        <w:t>：详见《采购标的一览表》及招标文件第五章。</w:t>
      </w:r>
    </w:p>
    <w:p>
      <w:pPr>
        <w:pStyle w:val="null3"/>
        <w:ind w:firstLine="480"/>
        <w:jc w:val="left"/>
        <w:outlineLvl w:val="2"/>
      </w:pPr>
      <w:r>
        <w:rPr>
          <w:sz w:val="28"/>
          <w:b/>
        </w:rPr>
        <w:t>5、需要落实的政府采购政策</w:t>
      </w:r>
    </w:p>
    <w:p>
      <w:pPr>
        <w:pStyle w:val="null3"/>
        <w:ind w:firstLine="960"/>
        <w:jc w:val="left"/>
      </w:pPr>
      <w:r>
        <w:rPr/>
        <w:t>进口产品：</w:t>
      </w:r>
      <w:r>
        <w:rPr/>
        <w:t>否</w:t>
      </w:r>
    </w:p>
    <w:p>
      <w:pPr>
        <w:pStyle w:val="null3"/>
        <w:ind w:firstLine="960"/>
        <w:jc w:val="left"/>
      </w:pPr>
      <w:r>
        <w:rPr/>
        <w:t>节能产品：</w:t>
      </w:r>
      <w:r>
        <w:rPr/>
        <w:t>否</w:t>
      </w:r>
    </w:p>
    <w:p>
      <w:pPr>
        <w:pStyle w:val="null3"/>
        <w:ind w:firstLine="960"/>
        <w:jc w:val="left"/>
      </w:pPr>
      <w:r>
        <w:rPr/>
        <w:t>环境标志产品：</w:t>
      </w:r>
      <w:r>
        <w:rPr/>
        <w:t>否</w:t>
      </w:r>
    </w:p>
    <w:p>
      <w:pPr>
        <w:pStyle w:val="null3"/>
        <w:ind w:firstLine="960"/>
        <w:jc w:val="left"/>
      </w:pPr>
      <w:r>
        <w:rPr/>
        <w:t>促进中小企业发展的相关政策：</w:t>
      </w:r>
    </w:p>
    <w:p>
      <w:pPr>
        <w:pStyle w:val="null3"/>
        <w:ind w:firstLine="960"/>
        <w:jc w:val="left"/>
      </w:pPr>
      <w:r>
        <w:rPr/>
        <w:t>采购包1：设置专门采购包</w:t>
      </w:r>
    </w:p>
    <w:p>
      <w:pPr>
        <w:pStyle w:val="null3"/>
        <w:jc w:val="left"/>
      </w:pPr>
      <w:r>
        <w:rPr/>
        <w:t>面向的企业规模：</w:t>
      </w:r>
      <w:r>
        <w:rPr/>
        <w:t>中小企业</w:t>
      </w:r>
    </w:p>
    <w:p>
      <w:pPr>
        <w:pStyle w:val="null3"/>
        <w:jc w:val="left"/>
      </w:pPr>
      <w:r>
        <w:rPr/>
        <w:t>预留形式：</w:t>
      </w:r>
      <w:r>
        <w:rPr/>
        <w:t>设置专门采购包</w:t>
      </w:r>
    </w:p>
    <w:p>
      <w:pPr>
        <w:pStyle w:val="null3"/>
        <w:jc w:val="left"/>
      </w:pPr>
      <w:r>
        <w:rPr/>
        <w:t>预留比例：</w:t>
      </w:r>
      <w:r>
        <w:rPr/>
        <w:t>100%</w:t>
      </w:r>
    </w:p>
    <w:p>
      <w:pPr>
        <w:pStyle w:val="null3"/>
        <w:ind w:firstLine="480"/>
        <w:jc w:val="both"/>
        <w:outlineLvl w:val="2"/>
      </w:pPr>
      <w:r>
        <w:rPr>
          <w:sz w:val="28"/>
          <w:b/>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 xml:space="preserve"> 资格审查要求概况</w:t>
            </w:r>
          </w:p>
        </w:tc>
        <w:tc>
          <w:tcPr>
            <w:tcW w:type="dxa" w:w="4614"/>
          </w:tcPr>
          <w:p>
            <w:pPr>
              <w:pStyle w:val="null3"/>
              <w:jc w:val="both"/>
            </w:pPr>
            <w:r>
              <w:rPr/>
              <w:t xml:space="preserve"> 评审点具体描述</w:t>
            </w:r>
          </w:p>
        </w:tc>
      </w:tr>
      <w:tr>
        <w:tc>
          <w:tcPr>
            <w:tcW w:type="dxa" w:w="3692"/>
          </w:tcPr>
          <w:p>
            <w:pPr>
              <w:pStyle w:val="null3"/>
              <w:jc w:val="both"/>
            </w:pPr>
            <w:r>
              <w:rPr/>
              <w:t>资格承诺函</w:t>
            </w:r>
          </w:p>
        </w:tc>
        <w:tc>
          <w:tcPr>
            <w:tcW w:type="dxa" w:w="4614"/>
          </w:tcPr>
          <w:p>
            <w:pPr>
              <w:pStyle w:val="null3"/>
              <w:jc w:val="both"/>
            </w:pPr>
            <w: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sz w:val="28"/>
          <w:b/>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sz w:val="28"/>
          <w:b/>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sz w:val="28"/>
          <w:b/>
        </w:rPr>
        <w:t>9、开标时间及地点</w:t>
      </w:r>
    </w:p>
    <w:p>
      <w:pPr>
        <w:pStyle w:val="null3"/>
        <w:ind w:firstLine="960"/>
        <w:jc w:val="both"/>
      </w:pPr>
      <w:r>
        <w:rPr/>
        <w:t>详见招标公告或更正公告，若不一致，以更正公告为准。</w:t>
      </w:r>
    </w:p>
    <w:p>
      <w:pPr>
        <w:pStyle w:val="null3"/>
        <w:ind w:firstLine="480"/>
        <w:jc w:val="both"/>
        <w:outlineLvl w:val="2"/>
      </w:pPr>
      <w:r>
        <w:rPr>
          <w:sz w:val="28"/>
          <w:b/>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sz w:val="28"/>
          <w:b/>
        </w:rPr>
        <w:t>11、采购人</w:t>
      </w:r>
      <w:r>
        <w:rPr>
          <w:sz w:val="28"/>
          <w:b/>
        </w:rPr>
        <w:t>：</w:t>
      </w:r>
      <w:r>
        <w:rPr>
          <w:sz w:val="28"/>
          <w:b/>
        </w:rPr>
        <w:t>福建省交通信息通信与应急处置中心</w:t>
      </w:r>
    </w:p>
    <w:p>
      <w:pPr>
        <w:pStyle w:val="null3"/>
        <w:ind w:firstLine="960"/>
        <w:jc w:val="left"/>
      </w:pPr>
      <w:r>
        <w:rPr/>
        <w:t xml:space="preserve"> 地址： </w:t>
      </w:r>
      <w:r>
        <w:rPr/>
        <w:t>福建省福州市鼓楼区东水路18号交通综合大楼28楼</w:t>
      </w:r>
    </w:p>
    <w:p>
      <w:pPr>
        <w:pStyle w:val="null3"/>
        <w:jc w:val="left"/>
      </w:pPr>
      <w:r>
        <w:rPr/>
        <w:t xml:space="preserve"> 邮编： </w:t>
      </w:r>
      <w:r>
        <w:rPr/>
        <w:t>350001</w:t>
      </w:r>
    </w:p>
    <w:p>
      <w:pPr>
        <w:pStyle w:val="null3"/>
        <w:jc w:val="left"/>
      </w:pPr>
      <w:r>
        <w:rPr/>
        <w:t xml:space="preserve"> 联系人： </w:t>
      </w:r>
      <w:r>
        <w:rPr/>
        <w:t>陈旭</w:t>
      </w:r>
    </w:p>
    <w:p>
      <w:pPr>
        <w:pStyle w:val="null3"/>
        <w:jc w:val="left"/>
      </w:pPr>
      <w:r>
        <w:rPr/>
        <w:t xml:space="preserve"> 联系电话： </w:t>
      </w:r>
      <w:r>
        <w:rPr/>
        <w:t>0591-87078998</w:t>
      </w:r>
    </w:p>
    <w:p>
      <w:pPr>
        <w:pStyle w:val="null3"/>
        <w:ind w:firstLine="480"/>
        <w:jc w:val="left"/>
        <w:outlineLvl w:val="2"/>
      </w:pPr>
      <w:r>
        <w:rPr>
          <w:sz w:val="28"/>
          <w:b/>
        </w:rPr>
        <w:t>12、代理机构</w:t>
      </w:r>
      <w:r>
        <w:rPr>
          <w:sz w:val="28"/>
          <w:b/>
        </w:rPr>
        <w:t>：</w:t>
      </w:r>
      <w:r>
        <w:rPr>
          <w:sz w:val="28"/>
          <w:b/>
        </w:rPr>
        <w:t>福建省公共资源交易中心</w:t>
      </w:r>
    </w:p>
    <w:p>
      <w:pPr>
        <w:pStyle w:val="null3"/>
        <w:ind w:firstLine="960"/>
        <w:jc w:val="both"/>
      </w:pPr>
      <w:r>
        <w:rPr/>
        <w:t xml:space="preserve"> 地址： </w:t>
      </w:r>
      <w:r>
        <w:rPr/>
        <w:t>福州市鼓楼区华林路128号屏东写字楼</w:t>
      </w:r>
    </w:p>
    <w:p>
      <w:pPr>
        <w:pStyle w:val="null3"/>
        <w:jc w:val="both"/>
      </w:pPr>
      <w:r>
        <w:rPr/>
        <w:t xml:space="preserve"> 邮编： </w:t>
      </w:r>
      <w:r>
        <w:rPr/>
        <w:t>350003</w:t>
      </w:r>
    </w:p>
    <w:p>
      <w:pPr>
        <w:pStyle w:val="null3"/>
        <w:jc w:val="both"/>
      </w:pPr>
      <w:r>
        <w:rPr/>
        <w:t xml:space="preserve"> 联系人： </w:t>
      </w:r>
      <w:r>
        <w:rPr/>
        <w:t>黄先生、林女士</w:t>
      </w:r>
    </w:p>
    <w:p>
      <w:pPr>
        <w:pStyle w:val="null3"/>
        <w:jc w:val="both"/>
      </w:pPr>
      <w:r>
        <w:rPr/>
        <w:t xml:space="preserve"> 联系电话： </w:t>
      </w:r>
      <w:r>
        <w:rPr/>
        <w:t>0591-88390025</w:t>
      </w:r>
    </w:p>
    <w:p>
      <w:pPr>
        <w:pStyle w:val="null3"/>
        <w:ind w:firstLine="480"/>
        <w:jc w:val="both"/>
        <w:outlineLvl w:val="2"/>
      </w:pPr>
      <w:r>
        <w:rPr>
          <w:sz w:val="28"/>
          <w:b/>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福建省公共资源交易中心</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sz w:val="28"/>
          <w:b/>
        </w:rPr>
        <w:t>附2：采购标的一览表</w:t>
      </w:r>
    </w:p>
    <w:p>
      <w:pPr>
        <w:pStyle w:val="null3"/>
        <w:jc w:val="left"/>
      </w:pPr>
      <w:r>
        <w:rPr/>
        <w:t>采购包1：</w:t>
      </w:r>
    </w:p>
    <w:p>
      <w:pPr>
        <w:pStyle w:val="null3"/>
        <w:jc w:val="left"/>
      </w:pPr>
      <w:r>
        <w:rPr/>
        <w:t>采购包预算金额（元）: 9,000,000.00</w:t>
      </w:r>
    </w:p>
    <w:p>
      <w:pPr>
        <w:pStyle w:val="null3"/>
        <w:jc w:val="left"/>
      </w:pPr>
      <w:r>
        <w:rPr/>
        <w:t>采购包最高限价（元）: 8,968,221.39</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福建省交通信息通信与应急处置中心云资源租赁服务</w:t>
            </w:r>
          </w:p>
        </w:tc>
        <w:tc>
          <w:tcPr>
            <w:tcW w:type="dxa" w:w="1187"/>
          </w:tcPr>
          <w:p>
            <w:pPr>
              <w:pStyle w:val="null3"/>
              <w:jc w:val="right"/>
            </w:pPr>
            <w:r>
              <w:rPr/>
              <w:t>3.00</w:t>
            </w:r>
          </w:p>
        </w:tc>
        <w:tc>
          <w:tcPr>
            <w:tcW w:type="dxa" w:w="1187"/>
          </w:tcPr>
          <w:p>
            <w:pPr>
              <w:pStyle w:val="null3"/>
              <w:jc w:val="right"/>
            </w:pPr>
            <w:r>
              <w:rPr/>
              <w:t>9,000,000.00</w:t>
            </w:r>
          </w:p>
        </w:tc>
        <w:tc>
          <w:tcPr>
            <w:tcW w:type="dxa" w:w="1187"/>
          </w:tcPr>
          <w:p>
            <w:pPr>
              <w:pStyle w:val="null3"/>
              <w:jc w:val="left"/>
            </w:pPr>
            <w:r>
              <w:rPr/>
              <w:t>年</w:t>
            </w:r>
          </w:p>
        </w:tc>
        <w:tc>
          <w:tcPr>
            <w:tcW w:type="dxa" w:w="1187"/>
          </w:tcPr>
          <w:p>
            <w:pPr>
              <w:pStyle w:val="null3"/>
              <w:jc w:val="left"/>
            </w:pPr>
            <w:r>
              <w:rPr/>
              <w:t>信息传输业</w:t>
            </w:r>
          </w:p>
        </w:tc>
        <w:tc>
          <w:tcPr>
            <w:tcW w:type="dxa" w:w="1187"/>
          </w:tcPr>
          <w:p>
            <w:pPr>
              <w:pStyle w:val="null3"/>
              <w:jc w:val="left"/>
            </w:pPr>
            <w:r>
              <w:rPr/>
              <w:t>否</w:t>
            </w:r>
          </w:p>
        </w:tc>
      </w:tr>
    </w:tbl>
    <w:p>
      <w:pPr>
        <w:pStyle w:val="null3"/>
        <w:jc w:val="left"/>
      </w:pPr>
      <w:r>
        <w:rPr/>
        <w:t>采购包1：</w:t>
      </w:r>
    </w:p>
    <w:p>
      <w:pPr>
        <w:pStyle w:val="null3"/>
        <w:jc w:val="left"/>
      </w:pPr>
      <w:r>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t>序号</w:t>
            </w:r>
          </w:p>
        </w:tc>
        <w:tc>
          <w:tcPr>
            <w:tcW w:type="dxa" w:w="3046"/>
          </w:tcPr>
          <w:p>
            <w:pPr>
              <w:pStyle w:val="null3"/>
              <w:jc w:val="left"/>
            </w:pPr>
            <w:r>
              <w:rPr/>
              <w:t>报价内容</w:t>
            </w:r>
          </w:p>
        </w:tc>
        <w:tc>
          <w:tcPr>
            <w:tcW w:type="dxa" w:w="554"/>
          </w:tcPr>
          <w:p>
            <w:pPr>
              <w:pStyle w:val="null3"/>
              <w:jc w:val="left"/>
            </w:pPr>
            <w:r>
              <w:rPr/>
              <w:t>计量单位</w:t>
            </w:r>
          </w:p>
        </w:tc>
        <w:tc>
          <w:tcPr>
            <w:tcW w:type="dxa" w:w="554"/>
          </w:tcPr>
          <w:p>
            <w:pPr>
              <w:pStyle w:val="null3"/>
              <w:jc w:val="left"/>
            </w:pPr>
            <w:r>
              <w:rPr/>
              <w:t>报价单位</w:t>
            </w:r>
          </w:p>
        </w:tc>
        <w:tc>
          <w:tcPr>
            <w:tcW w:type="dxa" w:w="1384"/>
          </w:tcPr>
          <w:p>
            <w:pPr>
              <w:pStyle w:val="null3"/>
              <w:jc w:val="left"/>
            </w:pPr>
            <w:r>
              <w:rPr/>
              <w:t>最高限价</w:t>
            </w:r>
          </w:p>
        </w:tc>
        <w:tc>
          <w:tcPr>
            <w:tcW w:type="dxa" w:w="1384"/>
          </w:tcPr>
          <w:p>
            <w:pPr>
              <w:pStyle w:val="null3"/>
              <w:jc w:val="left"/>
            </w:pPr>
            <w:r>
              <w:rPr/>
              <w:t>价款形式</w:t>
            </w:r>
          </w:p>
        </w:tc>
        <w:tc>
          <w:tcPr>
            <w:tcW w:type="dxa" w:w="1038"/>
          </w:tcPr>
          <w:p>
            <w:pPr>
              <w:pStyle w:val="null3"/>
              <w:jc w:val="left"/>
            </w:pPr>
            <w:r>
              <w:rPr/>
              <w:t>报价说明</w:t>
            </w:r>
          </w:p>
        </w:tc>
      </w:tr>
      <w:tr>
        <w:tc>
          <w:tcPr>
            <w:tcW w:type="dxa" w:w="346"/>
          </w:tcPr>
          <w:p>
            <w:pPr>
              <w:pStyle w:val="null3"/>
              <w:jc w:val="left"/>
            </w:pPr>
            <w:r>
              <w:rPr/>
              <w:t>1</w:t>
            </w:r>
          </w:p>
        </w:tc>
        <w:tc>
          <w:tcPr>
            <w:tcW w:type="dxa" w:w="3046"/>
          </w:tcPr>
          <w:p>
            <w:pPr>
              <w:pStyle w:val="null3"/>
              <w:jc w:val="left"/>
            </w:pPr>
            <w:r>
              <w:rPr/>
              <w:t>福建省交通信息通信与应急处置中心云资源租赁服务</w:t>
            </w:r>
          </w:p>
        </w:tc>
        <w:tc>
          <w:tcPr>
            <w:tcW w:type="dxa" w:w="554"/>
          </w:tcPr>
          <w:p>
            <w:pPr>
              <w:pStyle w:val="null3"/>
              <w:jc w:val="left"/>
            </w:pPr>
            <w:r>
              <w:rPr/>
              <w:t>年</w:t>
            </w:r>
          </w:p>
        </w:tc>
        <w:tc>
          <w:tcPr>
            <w:tcW w:type="dxa" w:w="554"/>
          </w:tcPr>
          <w:p>
            <w:pPr>
              <w:pStyle w:val="null3"/>
              <w:jc w:val="left"/>
            </w:pPr>
            <w:r>
              <w:rPr/>
              <w:t>元</w:t>
            </w:r>
          </w:p>
        </w:tc>
        <w:tc>
          <w:tcPr>
            <w:tcW w:type="dxa" w:w="1384"/>
          </w:tcPr>
          <w:p>
            <w:pPr>
              <w:pStyle w:val="null3"/>
              <w:jc w:val="right"/>
            </w:pPr>
            <w:r>
              <w:rPr/>
              <w:t>8,968,221.39</w:t>
            </w:r>
          </w:p>
        </w:tc>
        <w:tc>
          <w:tcPr>
            <w:tcW w:type="dxa" w:w="1384"/>
          </w:tcPr>
          <w:p>
            <w:pPr>
              <w:pStyle w:val="null3"/>
              <w:jc w:val="left"/>
            </w:pPr>
            <w:r>
              <w:rPr/>
              <w:t>总价</w:t>
            </w:r>
          </w:p>
        </w:tc>
        <w:tc>
          <w:tcPr>
            <w:tcW w:type="dxa" w:w="1038"/>
          </w:tcPr>
          <w:p>
            <w:pPr>
              <w:pStyle w:val="null3"/>
              <w:jc w:val="left"/>
            </w:pPr>
            <w:r>
              <w:rPr/>
              <w:t>无</w:t>
            </w:r>
          </w:p>
        </w:tc>
      </w:tr>
    </w:tbl>
    <w:p>
      <w:pPr>
        <w:pStyle w:val="null3"/>
        <w:jc w:val="left"/>
      </w:pPr>
      <w:r>
        <w:rPr/>
        <w:t>（2）报价明细要求：</w:t>
      </w:r>
    </w:p>
    <w:p>
      <w:pPr>
        <w:pStyle w:val="null3"/>
        <w:jc w:val="left"/>
      </w:pPr>
      <w:r>
        <w:rPr/>
        <w:t>福建省交通信息通信与应急处置中心云资源租赁服务</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云主机VCPU</w:t>
            </w:r>
          </w:p>
        </w:tc>
        <w:tc>
          <w:tcPr>
            <w:tcW w:type="dxa" w:w="2076"/>
          </w:tcPr>
          <w:p>
            <w:pPr>
              <w:pStyle w:val="null3"/>
              <w:jc w:val="left"/>
            </w:pPr>
            <w:r>
              <w:rPr/>
              <w:t>云主机VCPU</w:t>
            </w:r>
          </w:p>
        </w:tc>
        <w:tc>
          <w:tcPr>
            <w:tcW w:type="dxa" w:w="415"/>
          </w:tcPr>
          <w:p>
            <w:pPr>
              <w:pStyle w:val="null3"/>
              <w:jc w:val="left"/>
            </w:pPr>
            <w:r>
              <w:rPr/>
              <w:t>核</w:t>
            </w:r>
          </w:p>
        </w:tc>
        <w:tc>
          <w:tcPr>
            <w:tcW w:type="dxa" w:w="415"/>
          </w:tcPr>
          <w:p>
            <w:pPr>
              <w:pStyle w:val="null3"/>
              <w:jc w:val="left"/>
            </w:pPr>
            <w:r>
              <w:rPr/>
              <w:t>元</w:t>
            </w:r>
          </w:p>
        </w:tc>
        <w:tc>
          <w:tcPr>
            <w:tcW w:type="dxa" w:w="831"/>
          </w:tcPr>
          <w:p>
            <w:pPr>
              <w:pStyle w:val="null3"/>
              <w:jc w:val="right"/>
            </w:pPr>
            <w:r>
              <w:rPr/>
              <w:t>1,123,879.68</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2</w:t>
            </w:r>
          </w:p>
        </w:tc>
        <w:tc>
          <w:tcPr>
            <w:tcW w:type="dxa" w:w="2076"/>
          </w:tcPr>
          <w:p>
            <w:pPr>
              <w:pStyle w:val="null3"/>
              <w:jc w:val="left"/>
            </w:pPr>
            <w:r>
              <w:rPr/>
              <w:t>云主机内存</w:t>
            </w:r>
          </w:p>
        </w:tc>
        <w:tc>
          <w:tcPr>
            <w:tcW w:type="dxa" w:w="2076"/>
          </w:tcPr>
          <w:p>
            <w:pPr>
              <w:pStyle w:val="null3"/>
              <w:jc w:val="left"/>
            </w:pPr>
            <w:r>
              <w:rPr/>
              <w:t>云主机内存</w:t>
            </w:r>
          </w:p>
        </w:tc>
        <w:tc>
          <w:tcPr>
            <w:tcW w:type="dxa" w:w="415"/>
          </w:tcPr>
          <w:p>
            <w:pPr>
              <w:pStyle w:val="null3"/>
              <w:jc w:val="left"/>
            </w:pPr>
            <w:r>
              <w:rPr/>
              <w:t>GB</w:t>
            </w:r>
          </w:p>
        </w:tc>
        <w:tc>
          <w:tcPr>
            <w:tcW w:type="dxa" w:w="415"/>
          </w:tcPr>
          <w:p>
            <w:pPr>
              <w:pStyle w:val="null3"/>
              <w:jc w:val="left"/>
            </w:pPr>
            <w:r>
              <w:rPr/>
              <w:t>元</w:t>
            </w:r>
          </w:p>
        </w:tc>
        <w:tc>
          <w:tcPr>
            <w:tcW w:type="dxa" w:w="831"/>
          </w:tcPr>
          <w:p>
            <w:pPr>
              <w:pStyle w:val="null3"/>
              <w:jc w:val="right"/>
            </w:pPr>
            <w:r>
              <w:rPr/>
              <w:t>3,023,424.00</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3</w:t>
            </w:r>
          </w:p>
        </w:tc>
        <w:tc>
          <w:tcPr>
            <w:tcW w:type="dxa" w:w="2076"/>
          </w:tcPr>
          <w:p>
            <w:pPr>
              <w:pStyle w:val="null3"/>
              <w:jc w:val="left"/>
            </w:pPr>
            <w:r>
              <w:rPr/>
              <w:t>云主机硬盘</w:t>
            </w:r>
          </w:p>
        </w:tc>
        <w:tc>
          <w:tcPr>
            <w:tcW w:type="dxa" w:w="2076"/>
          </w:tcPr>
          <w:p>
            <w:pPr>
              <w:pStyle w:val="null3"/>
              <w:jc w:val="left"/>
            </w:pPr>
            <w:r>
              <w:rPr/>
              <w:t>云主机硬盘</w:t>
            </w:r>
          </w:p>
        </w:tc>
        <w:tc>
          <w:tcPr>
            <w:tcW w:type="dxa" w:w="415"/>
          </w:tcPr>
          <w:p>
            <w:pPr>
              <w:pStyle w:val="null3"/>
              <w:jc w:val="left"/>
            </w:pPr>
            <w:r>
              <w:rPr/>
              <w:t>GB</w:t>
            </w:r>
          </w:p>
        </w:tc>
        <w:tc>
          <w:tcPr>
            <w:tcW w:type="dxa" w:w="415"/>
          </w:tcPr>
          <w:p>
            <w:pPr>
              <w:pStyle w:val="null3"/>
              <w:jc w:val="left"/>
            </w:pPr>
            <w:r>
              <w:rPr/>
              <w:t>元</w:t>
            </w:r>
          </w:p>
        </w:tc>
        <w:tc>
          <w:tcPr>
            <w:tcW w:type="dxa" w:w="831"/>
          </w:tcPr>
          <w:p>
            <w:pPr>
              <w:pStyle w:val="null3"/>
              <w:jc w:val="right"/>
            </w:pPr>
            <w:r>
              <w:rPr/>
              <w:t>839,500.59</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4</w:t>
            </w:r>
          </w:p>
        </w:tc>
        <w:tc>
          <w:tcPr>
            <w:tcW w:type="dxa" w:w="2076"/>
          </w:tcPr>
          <w:p>
            <w:pPr>
              <w:pStyle w:val="null3"/>
              <w:jc w:val="left"/>
            </w:pPr>
            <w:r>
              <w:rPr/>
              <w:t>云存储硬盘</w:t>
            </w:r>
          </w:p>
        </w:tc>
        <w:tc>
          <w:tcPr>
            <w:tcW w:type="dxa" w:w="2076"/>
          </w:tcPr>
          <w:p>
            <w:pPr>
              <w:pStyle w:val="null3"/>
              <w:jc w:val="left"/>
            </w:pPr>
            <w:r>
              <w:rPr/>
              <w:t>云存储硬盘</w:t>
            </w:r>
          </w:p>
        </w:tc>
        <w:tc>
          <w:tcPr>
            <w:tcW w:type="dxa" w:w="415"/>
          </w:tcPr>
          <w:p>
            <w:pPr>
              <w:pStyle w:val="null3"/>
              <w:jc w:val="left"/>
            </w:pPr>
            <w:r>
              <w:rPr/>
              <w:t>GB</w:t>
            </w:r>
          </w:p>
        </w:tc>
        <w:tc>
          <w:tcPr>
            <w:tcW w:type="dxa" w:w="415"/>
          </w:tcPr>
          <w:p>
            <w:pPr>
              <w:pStyle w:val="null3"/>
              <w:jc w:val="left"/>
            </w:pPr>
            <w:r>
              <w:rPr/>
              <w:t>元</w:t>
            </w:r>
          </w:p>
        </w:tc>
        <w:tc>
          <w:tcPr>
            <w:tcW w:type="dxa" w:w="831"/>
          </w:tcPr>
          <w:p>
            <w:pPr>
              <w:pStyle w:val="null3"/>
              <w:jc w:val="right"/>
            </w:pPr>
            <w:r>
              <w:rPr/>
              <w:t>948,816.00</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5</w:t>
            </w:r>
          </w:p>
        </w:tc>
        <w:tc>
          <w:tcPr>
            <w:tcW w:type="dxa" w:w="2076"/>
          </w:tcPr>
          <w:p>
            <w:pPr>
              <w:pStyle w:val="null3"/>
              <w:jc w:val="left"/>
            </w:pPr>
            <w:r>
              <w:rPr/>
              <w:t>操作系统</w:t>
            </w:r>
          </w:p>
        </w:tc>
        <w:tc>
          <w:tcPr>
            <w:tcW w:type="dxa" w:w="2076"/>
          </w:tcPr>
          <w:p>
            <w:pPr>
              <w:pStyle w:val="null3"/>
              <w:jc w:val="left"/>
            </w:pPr>
            <w:r>
              <w:rPr/>
              <w:t>操作系统</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185,428.80</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6</w:t>
            </w:r>
          </w:p>
        </w:tc>
        <w:tc>
          <w:tcPr>
            <w:tcW w:type="dxa" w:w="2076"/>
          </w:tcPr>
          <w:p>
            <w:pPr>
              <w:pStyle w:val="null3"/>
              <w:jc w:val="left"/>
            </w:pPr>
            <w:r>
              <w:rPr/>
              <w:t>云负载均衡实例</w:t>
            </w:r>
          </w:p>
        </w:tc>
        <w:tc>
          <w:tcPr>
            <w:tcW w:type="dxa" w:w="2076"/>
          </w:tcPr>
          <w:p>
            <w:pPr>
              <w:pStyle w:val="null3"/>
              <w:jc w:val="left"/>
            </w:pPr>
            <w:r>
              <w:rPr/>
              <w:t>云负载均衡实例</w:t>
            </w:r>
          </w:p>
        </w:tc>
        <w:tc>
          <w:tcPr>
            <w:tcW w:type="dxa" w:w="415"/>
          </w:tcPr>
          <w:p>
            <w:pPr>
              <w:pStyle w:val="null3"/>
              <w:jc w:val="left"/>
            </w:pPr>
            <w:r>
              <w:rPr/>
              <w:t>个</w:t>
            </w:r>
          </w:p>
        </w:tc>
        <w:tc>
          <w:tcPr>
            <w:tcW w:type="dxa" w:w="415"/>
          </w:tcPr>
          <w:p>
            <w:pPr>
              <w:pStyle w:val="null3"/>
              <w:jc w:val="left"/>
            </w:pPr>
            <w:r>
              <w:rPr/>
              <w:t>元</w:t>
            </w:r>
          </w:p>
        </w:tc>
        <w:tc>
          <w:tcPr>
            <w:tcW w:type="dxa" w:w="831"/>
          </w:tcPr>
          <w:p>
            <w:pPr>
              <w:pStyle w:val="null3"/>
              <w:jc w:val="right"/>
            </w:pPr>
            <w:r>
              <w:rPr/>
              <w:t>114,048.00</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7</w:t>
            </w:r>
          </w:p>
        </w:tc>
        <w:tc>
          <w:tcPr>
            <w:tcW w:type="dxa" w:w="2076"/>
          </w:tcPr>
          <w:p>
            <w:pPr>
              <w:pStyle w:val="null3"/>
              <w:jc w:val="left"/>
            </w:pPr>
            <w:r>
              <w:rPr/>
              <w:t>ORACLE数据库集群服务实例</w:t>
            </w:r>
          </w:p>
        </w:tc>
        <w:tc>
          <w:tcPr>
            <w:tcW w:type="dxa" w:w="2076"/>
          </w:tcPr>
          <w:p>
            <w:pPr>
              <w:pStyle w:val="null3"/>
              <w:jc w:val="left"/>
            </w:pPr>
            <w:r>
              <w:rPr/>
              <w:t>ORACLE数据库集群服务实例</w:t>
            </w:r>
          </w:p>
        </w:tc>
        <w:tc>
          <w:tcPr>
            <w:tcW w:type="dxa" w:w="415"/>
          </w:tcPr>
          <w:p>
            <w:pPr>
              <w:pStyle w:val="null3"/>
              <w:jc w:val="left"/>
            </w:pPr>
            <w:r>
              <w:rPr/>
              <w:t>个</w:t>
            </w:r>
          </w:p>
        </w:tc>
        <w:tc>
          <w:tcPr>
            <w:tcW w:type="dxa" w:w="415"/>
          </w:tcPr>
          <w:p>
            <w:pPr>
              <w:pStyle w:val="null3"/>
              <w:jc w:val="left"/>
            </w:pPr>
            <w:r>
              <w:rPr/>
              <w:t>元</w:t>
            </w:r>
          </w:p>
        </w:tc>
        <w:tc>
          <w:tcPr>
            <w:tcW w:type="dxa" w:w="831"/>
          </w:tcPr>
          <w:p>
            <w:pPr>
              <w:pStyle w:val="null3"/>
              <w:jc w:val="right"/>
            </w:pPr>
            <w:r>
              <w:rPr/>
              <w:t>1,466,100.00</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8</w:t>
            </w:r>
          </w:p>
        </w:tc>
        <w:tc>
          <w:tcPr>
            <w:tcW w:type="dxa" w:w="2076"/>
          </w:tcPr>
          <w:p>
            <w:pPr>
              <w:pStyle w:val="null3"/>
              <w:jc w:val="left"/>
            </w:pPr>
            <w:r>
              <w:rPr/>
              <w:t>物理机 2路12核;96G内存;20TB硬盘;2*千兆网卡</w:t>
            </w:r>
          </w:p>
        </w:tc>
        <w:tc>
          <w:tcPr>
            <w:tcW w:type="dxa" w:w="2076"/>
          </w:tcPr>
          <w:p>
            <w:pPr>
              <w:pStyle w:val="null3"/>
              <w:jc w:val="left"/>
            </w:pPr>
            <w:r>
              <w:rPr/>
              <w:t>物理机 2路12核;96G内存;20TB硬盘;2*千兆网卡</w:t>
            </w:r>
          </w:p>
        </w:tc>
        <w:tc>
          <w:tcPr>
            <w:tcW w:type="dxa" w:w="415"/>
          </w:tcPr>
          <w:p>
            <w:pPr>
              <w:pStyle w:val="null3"/>
              <w:jc w:val="left"/>
            </w:pPr>
            <w:r>
              <w:rPr/>
              <w:t>台</w:t>
            </w:r>
          </w:p>
        </w:tc>
        <w:tc>
          <w:tcPr>
            <w:tcW w:type="dxa" w:w="415"/>
          </w:tcPr>
          <w:p>
            <w:pPr>
              <w:pStyle w:val="null3"/>
              <w:jc w:val="left"/>
            </w:pPr>
            <w:r>
              <w:rPr/>
              <w:t>元</w:t>
            </w:r>
          </w:p>
        </w:tc>
        <w:tc>
          <w:tcPr>
            <w:tcW w:type="dxa" w:w="831"/>
          </w:tcPr>
          <w:p>
            <w:pPr>
              <w:pStyle w:val="null3"/>
              <w:jc w:val="right"/>
            </w:pPr>
            <w:r>
              <w:rPr/>
              <w:t>429,235.20</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9</w:t>
            </w:r>
          </w:p>
        </w:tc>
        <w:tc>
          <w:tcPr>
            <w:tcW w:type="dxa" w:w="2076"/>
          </w:tcPr>
          <w:p>
            <w:pPr>
              <w:pStyle w:val="null3"/>
              <w:jc w:val="left"/>
            </w:pPr>
            <w:r>
              <w:rPr/>
              <w:t>云备份服务数据库实例</w:t>
            </w:r>
          </w:p>
        </w:tc>
        <w:tc>
          <w:tcPr>
            <w:tcW w:type="dxa" w:w="2076"/>
          </w:tcPr>
          <w:p>
            <w:pPr>
              <w:pStyle w:val="null3"/>
              <w:jc w:val="left"/>
            </w:pPr>
            <w:r>
              <w:rPr/>
              <w:t>云备份服务数据库实例</w:t>
            </w:r>
          </w:p>
        </w:tc>
        <w:tc>
          <w:tcPr>
            <w:tcW w:type="dxa" w:w="415"/>
          </w:tcPr>
          <w:p>
            <w:pPr>
              <w:pStyle w:val="null3"/>
              <w:jc w:val="left"/>
            </w:pPr>
            <w:r>
              <w:rPr/>
              <w:t>个</w:t>
            </w:r>
          </w:p>
        </w:tc>
        <w:tc>
          <w:tcPr>
            <w:tcW w:type="dxa" w:w="415"/>
          </w:tcPr>
          <w:p>
            <w:pPr>
              <w:pStyle w:val="null3"/>
              <w:jc w:val="left"/>
            </w:pPr>
            <w:r>
              <w:rPr/>
              <w:t>元</w:t>
            </w:r>
          </w:p>
        </w:tc>
        <w:tc>
          <w:tcPr>
            <w:tcW w:type="dxa" w:w="831"/>
          </w:tcPr>
          <w:p>
            <w:pPr>
              <w:pStyle w:val="null3"/>
              <w:jc w:val="right"/>
            </w:pPr>
            <w:r>
              <w:rPr/>
              <w:t>549,789.12</w:t>
            </w:r>
          </w:p>
        </w:tc>
        <w:tc>
          <w:tcPr>
            <w:tcW w:type="dxa" w:w="831"/>
          </w:tcPr>
          <w:p>
            <w:pPr>
              <w:pStyle w:val="null3"/>
              <w:jc w:val="left"/>
            </w:pPr>
            <w:r>
              <w:rPr/>
              <w:t>总价</w:t>
            </w:r>
          </w:p>
        </w:tc>
        <w:tc>
          <w:tcPr>
            <w:tcW w:type="dxa" w:w="1246"/>
          </w:tcPr>
          <w:p>
            <w:pPr>
              <w:pStyle w:val="null3"/>
              <w:jc w:val="left"/>
            </w:pPr>
            <w:r>
              <w:rPr/>
              <w:t>无</w:t>
            </w:r>
          </w:p>
        </w:tc>
      </w:tr>
      <w:tr>
        <w:tc>
          <w:tcPr>
            <w:tcW w:type="dxa" w:w="415"/>
          </w:tcPr>
          <w:p>
            <w:pPr>
              <w:pStyle w:val="null3"/>
              <w:jc w:val="left"/>
            </w:pPr>
            <w:r>
              <w:rPr/>
              <w:t>10</w:t>
            </w:r>
          </w:p>
        </w:tc>
        <w:tc>
          <w:tcPr>
            <w:tcW w:type="dxa" w:w="2076"/>
          </w:tcPr>
          <w:p>
            <w:pPr>
              <w:pStyle w:val="null3"/>
              <w:jc w:val="left"/>
            </w:pPr>
            <w:r>
              <w:rPr/>
              <w:t>云上服务提供一年的政务云上业务运维管理服务及应用安全保障服务</w:t>
            </w:r>
          </w:p>
        </w:tc>
        <w:tc>
          <w:tcPr>
            <w:tcW w:type="dxa" w:w="2076"/>
          </w:tcPr>
          <w:p>
            <w:pPr>
              <w:pStyle w:val="null3"/>
              <w:jc w:val="left"/>
            </w:pPr>
            <w:r>
              <w:rPr/>
              <w:t>云上服务提供一年的政务云上业务运维管理服务及应用安全保障服务</w:t>
            </w:r>
          </w:p>
        </w:tc>
        <w:tc>
          <w:tcPr>
            <w:tcW w:type="dxa" w:w="415"/>
          </w:tcPr>
          <w:p>
            <w:pPr>
              <w:pStyle w:val="null3"/>
              <w:jc w:val="left"/>
            </w:pPr>
            <w:r>
              <w:rPr/>
              <w:t>项</w:t>
            </w:r>
          </w:p>
        </w:tc>
        <w:tc>
          <w:tcPr>
            <w:tcW w:type="dxa" w:w="415"/>
          </w:tcPr>
          <w:p>
            <w:pPr>
              <w:pStyle w:val="null3"/>
              <w:jc w:val="left"/>
            </w:pPr>
            <w:r>
              <w:rPr/>
              <w:t>元</w:t>
            </w:r>
          </w:p>
        </w:tc>
        <w:tc>
          <w:tcPr>
            <w:tcW w:type="dxa" w:w="831"/>
          </w:tcPr>
          <w:p>
            <w:pPr>
              <w:pStyle w:val="null3"/>
              <w:jc w:val="right"/>
            </w:pPr>
            <w:r>
              <w:rPr/>
              <w:t>288,000.00</w:t>
            </w:r>
          </w:p>
        </w:tc>
        <w:tc>
          <w:tcPr>
            <w:tcW w:type="dxa" w:w="831"/>
          </w:tcPr>
          <w:p>
            <w:pPr>
              <w:pStyle w:val="null3"/>
              <w:jc w:val="left"/>
            </w:pPr>
            <w:r>
              <w:rPr/>
              <w:t>总价</w:t>
            </w:r>
          </w:p>
        </w:tc>
        <w:tc>
          <w:tcPr>
            <w:tcW w:type="dxa" w:w="1246"/>
          </w:tcPr>
          <w:p>
            <w:pPr>
              <w:pStyle w:val="null3"/>
              <w:jc w:val="left"/>
            </w:pPr>
            <w:r>
              <w:rPr/>
              <w:t>无</w:t>
            </w:r>
          </w:p>
        </w:tc>
      </w:tr>
    </w:tbl>
    <w:p>
      <w:pPr>
        <w:pStyle w:val="null3"/>
      </w:pPr>
      <w:r>
        <w:rPr/>
        <w:t xml:space="preserve"> </w:t>
        <w:br/>
        <w:br w:type="page"/>
      </w:r>
    </w:p>
    <w:p>
      <w:pPr>
        <w:pStyle w:val="null3"/>
        <w:jc w:val="center"/>
        <w:outlineLvl w:val="1"/>
      </w:pPr>
      <w:r>
        <w:rPr>
          <w:sz w:val="36"/>
          <w:b/>
        </w:rPr>
        <w:t>第二章 投标人须知前附表</w:t>
      </w:r>
    </w:p>
    <w:p>
      <w:pPr>
        <w:pStyle w:val="null3"/>
        <w:ind w:firstLine="480"/>
        <w:jc w:val="both"/>
        <w:outlineLvl w:val="2"/>
      </w:pPr>
      <w:r>
        <w:rPr>
          <w:sz w:val="28"/>
          <w:b/>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采购包1：不允许合同分包；</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采购包1：1名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（1） </w:t>
            </w:r>
            <w:r>
              <w:rPr/>
              <w:t>采购人应在政府采购招投标管理办法规定的时限内确定中标人。</w:t>
            </w:r>
          </w:p>
          <w:p>
            <w:pPr>
              <w:pStyle w:val="null3"/>
              <w:jc w:val="left"/>
            </w:pPr>
            <w:r>
              <w:rPr/>
              <w:t>（2）若出现中标候选人并列情形，则按照下列方式确定中标人：</w:t>
            </w:r>
          </w:p>
          <w:p>
            <w:pPr>
              <w:pStyle w:val="null3"/>
              <w:jc w:val="left"/>
            </w:pPr>
            <w:r>
              <w:rPr/>
              <w:t>①招标文件规定的方式：</w:t>
            </w:r>
          </w:p>
          <w:p>
            <w:pPr>
              <w:pStyle w:val="null3"/>
              <w:jc w:val="left"/>
            </w:pPr>
            <w:r>
              <w:rPr/>
              <w:t>无</w:t>
            </w:r>
          </w:p>
          <w:p>
            <w:pPr>
              <w:pStyle w:val="null3"/>
              <w:jc w:val="left"/>
            </w:pPr>
            <w:r>
              <w:rPr/>
              <w:t>②若本款第①点规定方式为“无”，则按照下列方式确定：</w:t>
            </w:r>
          </w:p>
          <w:p>
            <w:pPr>
              <w:pStyle w:val="null3"/>
              <w:jc w:val="left"/>
            </w:pPr>
            <w:r>
              <w:rPr/>
              <w:t>无</w:t>
            </w:r>
          </w:p>
          <w:p>
            <w:pPr>
              <w:pStyle w:val="null3"/>
              <w:jc w:val="left"/>
            </w:pPr>
            <w:r>
              <w:rPr/>
              <w:t>③若本款第①、②点规定方式均为“无”，则按照下列方式确定：随机抽取。</w:t>
            </w:r>
          </w:p>
          <w:p>
            <w:pPr>
              <w:pStyle w:val="null3"/>
              <w:jc w:val="left"/>
            </w:pPr>
            <w:r>
              <w:rPr/>
              <w:t>（3）本项目确定的中标人家数：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（1）潜在投标人可在质疑时效期间内对招标文件以书面形式提出质疑。</w:t>
            </w:r>
          </w:p>
          <w:p>
            <w:pPr>
              <w:pStyle w:val="null3"/>
              <w:jc w:val="left"/>
            </w:pPr>
            <w:r>
              <w:rPr/>
              <w:t xml:space="preserve">（2）质疑时效期间：应在依法获取招标文件之日起7个工作日内向 </w:t>
            </w:r>
            <w:r>
              <w:rPr/>
              <w:t>福建省公共资源交易中心</w:t>
            </w:r>
            <w:r>
              <w:rPr/>
              <w:t xml:space="preserve"> 提出，依法获取招标文件的时间以福建省政府采购网上公开信息系统记载的为准。</w:t>
            </w:r>
          </w:p>
          <w:p>
            <w:pPr>
              <w:pStyle w:val="null3"/>
              <w:jc w:val="left"/>
            </w:pPr>
            <w:r>
              <w:rPr/>
              <w:t>※除上述规定外，对招标文件提出的质疑还应符合招标文件第三章第15.1条的有关规定。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福建省财政厅政府采购监督管理办公室</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本项目不收取代理服务费</w:t>
            </w:r>
          </w:p>
          <w:p>
            <w:pPr>
              <w:pStyle w:val="null3"/>
              <w:jc w:val="left"/>
            </w:pPr>
            <w:r>
              <w:rPr/>
              <w:t xml:space="preserve"> (2)其他：</w:t>
            </w:r>
          </w:p>
          <w:p>
            <w:pPr>
              <w:pStyle w:val="null3"/>
              <w:jc w:val="left"/>
            </w:pPr>
            <w:r>
              <w:rPr/>
              <w:t>根据《中华人民共和国政府采购法》《中华人民共和国政府采购法实施条例》和其他有关法律法规规定及采购人与福建省公共资源交易中心签订的委托协议约定，对有关质疑、询问事项明确如下：①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②投标人对除本条款第一项中明确应向采购人提出质疑之外的其他内容或事项有质疑的，可向采购人或福建省公共资源交易中心提出、也可向采购人和福建省公共资源交易中心同时提出，并由采购人和福建省公共资源交易中心按相关规定作出答复。③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sz w:val="28"/>
          <w:b/>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（2）将招标文件</w:t>
            </w:r>
          </w:p>
          <w:p>
            <w:pPr>
              <w:pStyle w:val="null3"/>
              <w:jc w:val="left"/>
            </w:pPr>
            <w:r>
              <w:rPr/>
              <w:t>无</w:t>
            </w:r>
            <w:r>
              <w:rPr/>
              <w:t xml:space="preserve"> 的内容修正为下列内容：</w:t>
            </w:r>
          </w:p>
          <w:p>
            <w:pPr>
              <w:pStyle w:val="null3"/>
              <w:jc w:val="left"/>
            </w:pPr>
            <w:r>
              <w:rPr/>
              <w:t>无</w:t>
            </w:r>
            <w:r>
              <w:rPr/>
              <w:t xml:space="preserve"> 后适用本项目的电子招标投标活动。</w:t>
            </w:r>
          </w:p>
          <w:p>
            <w:pPr>
              <w:pStyle w:val="null3"/>
              <w:jc w:val="left"/>
            </w:pPr>
            <w:r>
              <w:rPr/>
              <w:t>（3）将下列内容增列为招标文件的组成部分（以下简称：“增列内容”）适用本项目的电子招标投标活动，若增列内容与招标文件其他章节内容有冲突，应以增列内容为准：</w:t>
            </w:r>
          </w:p>
          <w:p>
            <w:pPr>
              <w:pStyle w:val="null3"/>
              <w:jc w:val="left"/>
            </w:pPr>
            <w:r>
              <w:rPr/>
              <w:t>①电子招标投标活动的具体操作流程以福建省政府采购网上公开信息系统设定的为准。</w:t>
            </w:r>
          </w:p>
          <w:p>
            <w:pPr>
              <w:pStyle w:val="null3"/>
              <w:jc w:val="left"/>
            </w:pPr>
            <w:r>
              <w:rPr/>
              <w:t>②关于电子投标文件：</w:t>
            </w:r>
          </w:p>
          <w:p>
            <w:pPr>
              <w:pStyle w:val="null3"/>
              <w:jc w:val="left"/>
            </w:pPr>
            <w:r>
              <w:rPr/>
              <w:t>a.投标人应按照福建省政府采购网上公开信息系统设定的评审节点编制电子投标文件，否则资格审查小组、评标委员会将按照不利于投标人的内容进行认定。</w:t>
            </w:r>
          </w:p>
          <w:p>
            <w:pPr>
              <w:pStyle w:val="null3"/>
              <w:jc w:val="left"/>
            </w:pPr>
            <w:r>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null3"/>
              <w:jc w:val="left"/>
            </w:pPr>
            <w:r>
              <w:rPr/>
              <w:t>③关于证明材料或资料：</w:t>
            </w:r>
          </w:p>
          <w:p>
            <w:pPr>
              <w:pStyle w:val="null3"/>
              <w:jc w:val="left"/>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④关于“全称”、“投标人代表签字”及“加盖单位公章”：</w:t>
            </w:r>
          </w:p>
          <w:p>
            <w:pPr>
              <w:pStyle w:val="null3"/>
              <w:jc w:val="left"/>
            </w:pPr>
            <w:r>
              <w:rPr/>
              <w:t>a.在电子投标文件中，涉及“全称”和“投标人代表签字”的内容可使用打字录入方式完成。</w:t>
            </w:r>
          </w:p>
          <w:p>
            <w:pPr>
              <w:pStyle w:val="null3"/>
              <w:jc w:val="left"/>
            </w:pPr>
            <w:r>
              <w:rPr/>
              <w:t>b.在电子投标文件中，涉及“加盖单位公章”的内容应使用投标人的CA证书完成，否则投标无效。</w:t>
            </w:r>
          </w:p>
          <w:p>
            <w:pPr>
              <w:pStyle w:val="null3"/>
              <w:jc w:val="left"/>
            </w:pPr>
            <w:r>
              <w:rPr/>
              <w:t>c.在电子投标文件中，若投标人按照本增列内容第④点第b项规定加盖其单位公章，则出现无全称、或投标人代表未签字等情形，不视为投标无效。</w:t>
            </w:r>
          </w:p>
          <w:p>
            <w:pPr>
              <w:pStyle w:val="null3"/>
              <w:jc w:val="left"/>
            </w:pPr>
            <w:r>
              <w:rPr/>
              <w:t>⑤关于投标人的CA证书：</w:t>
            </w:r>
          </w:p>
          <w:p>
            <w:pPr>
              <w:pStyle w:val="null3"/>
              <w:jc w:val="left"/>
            </w:pPr>
            <w:r>
              <w:rPr/>
              <w:t>a.投标人的CA证书应在系统规定时间内使用CA证书进行电子投标文件的解密操作，逾期未解密的视为放弃投标。</w:t>
            </w:r>
          </w:p>
          <w:p>
            <w:pPr>
              <w:pStyle w:val="null3"/>
              <w:jc w:val="left"/>
            </w:pPr>
            <w:r>
              <w:rPr/>
              <w:t>b.投标人的CA证书可采用信封（包括但不限于：信封、档案袋、文件袋等）作为外包装进行单独包装。外包装密封、不密封皆可。</w:t>
            </w:r>
          </w:p>
          <w:p>
            <w:pPr>
              <w:pStyle w:val="null3"/>
              <w:jc w:val="left"/>
            </w:pPr>
            <w:r>
              <w:rPr/>
              <w:t>c.投标人的CA证书或外包装应标记“项目名称、项目编号、投标人的全称”等内容，以方便识别、使用。</w:t>
            </w:r>
          </w:p>
          <w:p>
            <w:pPr>
              <w:pStyle w:val="null3"/>
              <w:jc w:val="left"/>
            </w:pPr>
            <w:r>
              <w:rPr/>
              <w:t>d.投标人的CA证书应能正常、有效使用，否则产生不利后果由投标人承担责任。</w:t>
            </w:r>
          </w:p>
          <w:p>
            <w:pPr>
              <w:pStyle w:val="null3"/>
              <w:jc w:val="left"/>
            </w:pPr>
            <w:r>
              <w:rPr/>
              <w:t>⑥关于投标截止时间过后</w:t>
            </w:r>
          </w:p>
          <w:p>
            <w:pPr>
              <w:pStyle w:val="null3"/>
              <w:jc w:val="left"/>
            </w:pPr>
            <w:r>
              <w:rPr/>
              <w:t>a.未按招标文件规定提交投标保证金的，其投标将按无效投标处理。</w:t>
            </w:r>
          </w:p>
          <w:p>
            <w:pPr>
              <w:pStyle w:val="null3"/>
              <w:jc w:val="left"/>
            </w:pPr>
            <w:r>
              <w:rPr/>
              <w:t>b.有下列情形之一的，其投标无效,其保证金不予退还或通过投标保函进行索赔：</w:t>
            </w:r>
          </w:p>
          <w:p>
            <w:pPr>
              <w:pStyle w:val="null3"/>
              <w:jc w:val="left"/>
            </w:pPr>
            <w:r>
              <w:rPr/>
              <w:t>b1不同投标人的电子投标文件具有相同内部识别码；</w:t>
            </w:r>
          </w:p>
          <w:p>
            <w:pPr>
              <w:pStyle w:val="null3"/>
              <w:jc w:val="left"/>
            </w:pPr>
            <w:r>
              <w:rPr/>
              <w:t>b2不同投标人的投标保证金从同一单位或个人的账户转出；</w:t>
            </w:r>
          </w:p>
          <w:p>
            <w:pPr>
              <w:pStyle w:val="null3"/>
              <w:jc w:val="left"/>
            </w:pPr>
            <w:r>
              <w:rPr/>
              <w:t>b3投标人的投标保证金同一采购包下有其他投标人提交的投标保证金；</w:t>
            </w:r>
          </w:p>
          <w:p>
            <w:pPr>
              <w:pStyle w:val="null3"/>
              <w:jc w:val="left"/>
            </w:pPr>
            <w:r>
              <w:rPr/>
              <w:t>b4不同投标人存在串通投标的其他情形。</w:t>
            </w:r>
          </w:p>
          <w:p>
            <w:pPr>
              <w:pStyle w:val="null3"/>
              <w:jc w:val="left"/>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⑧其他：</w:t>
            </w:r>
          </w:p>
          <w:p>
            <w:pPr>
              <w:pStyle w:val="null3"/>
              <w:jc w:val="left"/>
            </w:pPr>
            <w:r>
              <w:rP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pPr>
        <w:pStyle w:val="null3"/>
      </w:pPr>
      <w:r>
        <w:rPr/>
        <w:t xml:space="preserve"> </w:t>
        <w:br/>
        <w:br w:type="page"/>
      </w:r>
    </w:p>
    <w:p>
      <w:pPr>
        <w:pStyle w:val="null3"/>
        <w:jc w:val="center"/>
        <w:outlineLvl w:val="1"/>
      </w:pPr>
      <w:r>
        <w:rPr>
          <w:sz w:val="36"/>
          <w:b/>
        </w:rPr>
        <w:t>第三章 投标人须知</w:t>
      </w:r>
    </w:p>
    <w:p>
      <w:pPr>
        <w:pStyle w:val="null3"/>
        <w:ind w:firstLine="480"/>
        <w:jc w:val="both"/>
        <w:outlineLvl w:val="2"/>
      </w:pPr>
      <w:r>
        <w:rPr>
          <w:sz w:val="28"/>
          <w:b/>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sz w:val="28"/>
          <w:b/>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left"/>
      </w:pPr>
      <w:r>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sz w:val="28"/>
          <w:b/>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福建省公共资源交易中心</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福建省公共资源交易中心</w:t>
      </w:r>
      <w:r>
        <w:rPr/>
        <w:t xml:space="preserve"> 将在投标截止时间至少15个日历日前，在招标文件载明的指定媒体以更正公告的形式发布澄清或修改的内容。不足15个日历日的， </w:t>
      </w:r>
      <w:r>
        <w:rPr/>
        <w:t>福建省公共资源交易中心</w:t>
      </w:r>
      <w:r>
        <w:rPr/>
        <w:t xml:space="preserve"> 将顺延投标截止时间及开标时间， </w:t>
      </w:r>
      <w:r>
        <w:rPr/>
        <w:t>福建省公共资源交易中心</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福建省公共资源交易中心</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福建省公共资源交易中心</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福建省公共资源交易中心</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福建省公共资源交易中心</w:t>
      </w:r>
      <w:r>
        <w:rPr/>
        <w:t xml:space="preserve"> 可终止招标并发布终止公告。</w:t>
      </w:r>
    </w:p>
    <w:p>
      <w:pPr>
        <w:pStyle w:val="null3"/>
        <w:ind w:firstLine="480"/>
        <w:jc w:val="both"/>
      </w:pPr>
      <w:r>
        <w:rPr/>
        <w:t xml:space="preserve">8.2终止公告作为 </w:t>
      </w:r>
      <w:r>
        <w:rPr/>
        <w:t>福建省公共资源交易中心</w:t>
      </w:r>
      <w:r>
        <w:rPr/>
        <w:t xml:space="preserve"> 通知所有潜在投标人的书面形式。</w:t>
      </w:r>
    </w:p>
    <w:p>
      <w:pPr>
        <w:pStyle w:val="null3"/>
        <w:ind w:firstLine="480"/>
        <w:jc w:val="both"/>
        <w:outlineLvl w:val="2"/>
      </w:pPr>
      <w:r>
        <w:rPr>
          <w:sz w:val="28"/>
          <w:b/>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①开标（报价）一览表</w:t>
      </w:r>
    </w:p>
    <w:p>
      <w:pPr>
        <w:pStyle w:val="null3"/>
        <w:ind w:firstLine="480"/>
        <w:jc w:val="both"/>
      </w:pPr>
      <w:r>
        <w:rPr/>
        <w:t>②投标（响应）报价明细表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福建省公共资源交易中心</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福建省公共资源交易中心</w:t>
      </w:r>
      <w:r>
        <w:rPr/>
        <w:t xml:space="preserve"> 可于投标有效期届满之前书面要求投标人延长投标有效期，投标人应在 </w:t>
      </w:r>
      <w:r>
        <w:rPr/>
        <w:t>福建省公共资源交易中心</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福建省公共资源交易中心</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福建省公共资源交易中心</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福建省公共资源交易中心</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sz w:val="28"/>
          <w:b/>
        </w:rPr>
        <w:t>五、开标</w:t>
      </w:r>
    </w:p>
    <w:p>
      <w:pPr>
        <w:pStyle w:val="null3"/>
        <w:ind w:firstLine="480"/>
        <w:jc w:val="both"/>
      </w:pPr>
      <w:r>
        <w:rPr/>
        <w:t>11、开标</w:t>
      </w:r>
    </w:p>
    <w:p>
      <w:pPr>
        <w:pStyle w:val="null3"/>
        <w:ind w:firstLine="480"/>
        <w:jc w:val="both"/>
      </w:pPr>
      <w:r>
        <w:rPr/>
        <w:t xml:space="preserve">11.1 </w:t>
      </w:r>
      <w:r>
        <w:rPr/>
        <w:t>福建省公共资源交易中心</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福建省公共资源交易中心</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福建省公共资源交易中心</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福建省公共资源交易中心</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sz w:val="28"/>
          <w:b/>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福建省公共资源交易中心</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福建省公共资源交易中心</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sz w:val="28"/>
          <w:b/>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福建省公共资源交易中心</w:t>
      </w:r>
      <w:r>
        <w:rPr/>
        <w:t xml:space="preserve"> 提出询问， </w:t>
      </w:r>
      <w:r>
        <w:rPr/>
        <w:t>福建省公共资源交易中心</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福建省公共资源交易中心</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sz w:val="28"/>
          <w:b/>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sz w:val="28"/>
          <w:b/>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sz w:val="28"/>
          <w:b/>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sz w:val="36"/>
          <w:b/>
        </w:rPr>
        <w:t>第四章 资格审查与评标</w:t>
      </w:r>
    </w:p>
    <w:p>
      <w:pPr>
        <w:pStyle w:val="null3"/>
        <w:jc w:val="both"/>
        <w:outlineLvl w:val="2"/>
      </w:pPr>
      <w:r>
        <w:rPr>
          <w:sz w:val="28"/>
          <w:b/>
        </w:rPr>
        <w:t>一、资格审查</w:t>
      </w:r>
    </w:p>
    <w:p>
      <w:pPr>
        <w:pStyle w:val="null3"/>
        <w:ind w:firstLine="480"/>
        <w:jc w:val="both"/>
      </w:pPr>
      <w:r>
        <w:rPr/>
        <w:t xml:space="preserve">1、开标结束后，由 </w:t>
      </w:r>
      <w:r>
        <w:rPr/>
        <w:t>福建省公共资源交易中心</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由福建省公共资源交易中心派出的工作人员至少1人，</w:t>
      </w:r>
      <w:r>
        <w:rPr/>
        <w:t>其余1人可为采购人代表或福建省公共资源交易中心的工作人员。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left"/>
      </w:pPr>
      <w:r>
        <w:rPr/>
        <w:t>③根据招标文件第四章第一点资格审查的1.3“④其他资格证明文件”要求，允许供应商采用资格承诺制的并提供符合要求的资格承诺函，视为满足招标文件的资格要求。</w:t>
      </w:r>
    </w:p>
    <w:p>
      <w:pPr>
        <w:pStyle w:val="null3"/>
        <w:ind w:firstLine="480"/>
        <w:jc w:val="both"/>
      </w:pPr>
      <w:r>
        <w:rPr/>
        <w:t>④.其他资格证明文件：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资格承诺函</w:t>
            </w:r>
          </w:p>
        </w:tc>
        <w:tc>
          <w:tcPr>
            <w:tcW w:type="dxa" w:w="4614"/>
          </w:tcPr>
          <w:p>
            <w:pPr>
              <w:pStyle w:val="null3"/>
              <w:jc w:val="left"/>
            </w:pPr>
            <w: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c>
          <w:tcPr>
            <w:tcW w:type="dxa" w:w="3692"/>
          </w:tcPr>
          <w:p>
            <w:pPr>
              <w:pStyle w:val="null3"/>
              <w:jc w:val="left"/>
            </w:pPr>
            <w:r>
              <w:rPr/>
              <w:t>本采购包属于专门面向中小企业采购。</w:t>
            </w:r>
          </w:p>
        </w:tc>
        <w:tc>
          <w:tcPr>
            <w:tcW w:type="dxa" w:w="4614"/>
          </w:tcPr>
          <w:p>
            <w:pPr>
              <w:pStyle w:val="null3"/>
              <w:jc w:val="left"/>
            </w:pPr>
            <w:r>
              <w:rPr/>
              <w:t>本采购包为专门面向中小企业采购，投标人须提供中小企业声明函。监狱企业、残疾人福利性单位视同小型、微型企业。</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福建省公共资源交易中心</w:t>
      </w:r>
      <w:r>
        <w:rPr/>
        <w:t xml:space="preserve"> 统一对外发布。</w:t>
      </w:r>
    </w:p>
    <w:p>
      <w:pPr>
        <w:pStyle w:val="null3"/>
        <w:ind w:firstLine="480"/>
        <w:jc w:val="both"/>
      </w:pPr>
      <w:r>
        <w:rPr/>
        <w:t xml:space="preserve">3、资格审查合格的投标人不足三家的，不进行评标。同时，本次采购活动结束， </w:t>
      </w:r>
      <w:r>
        <w:rPr/>
        <w:t>福建省公共资源交易中心</w:t>
      </w:r>
      <w:r>
        <w:rPr/>
        <w:t xml:space="preserve"> 将依法组织后续采购活动（包括但不限于：重新招标、采用其他方式采购等）。</w:t>
      </w:r>
    </w:p>
    <w:p>
      <w:pPr>
        <w:pStyle w:val="null3"/>
        <w:jc w:val="both"/>
        <w:outlineLvl w:val="2"/>
      </w:pPr>
      <w:r>
        <w:rPr>
          <w:sz w:val="28"/>
          <w:b/>
        </w:rPr>
        <w:t>二、评标</w:t>
      </w:r>
    </w:p>
    <w:p>
      <w:pPr>
        <w:pStyle w:val="null3"/>
        <w:ind w:firstLine="480"/>
        <w:jc w:val="both"/>
      </w:pPr>
      <w:r>
        <w:rPr/>
        <w:t xml:space="preserve">4、资格审查结束后，由 </w:t>
      </w:r>
      <w:r>
        <w:rPr/>
        <w:t>福建省公共资源交易中心</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由采购人代表和评审专家两部分共5人组成，</w:t>
      </w:r>
      <w:r>
        <w:rPr/>
        <w:t>其中由福建省政府采购评审专家库产生的评审专家4人，</w:t>
      </w:r>
      <w:r>
        <w:rPr/>
        <w:t>由采购人派出的采购人代表1人。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福建省公共资源交易中心</w:t>
      </w:r>
      <w:r>
        <w:rPr/>
        <w:t xml:space="preserve"> 统一对外发布。</w:t>
      </w:r>
    </w:p>
    <w:p>
      <w:pPr>
        <w:pStyle w:val="null3"/>
        <w:ind w:firstLine="480"/>
        <w:jc w:val="both"/>
      </w:pPr>
      <w:r>
        <w:rPr/>
        <w:t xml:space="preserve">②对 </w:t>
      </w:r>
      <w:r>
        <w:rPr/>
        <w:t>福建省公共资源交易中心</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详见本文件招标内容及要求中“二、技术和服务要求”，除以“▲”标示的条款外，其余条款内容均为“以‘★’标示的内容”，即“均为不允许负偏离的实质性要求”。</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详见本文件招标内容及要求中“三、商务条件”，其全部条款内容均为“以‘★’标示的内容”，即“均为不允许负偏离的实质性要求”。</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①开标（报价）一览表内容与电子投标文件中相应内容不一致的，以开标（报价）一览表为准；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③单价金额小数点或百分比有明显错位的，以开标（报价）一览表的总价为准，并修改单价；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福建省公共资源交易中心</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w:t>
      </w:r>
      <w:r>
        <w:rPr/>
        <w:t xml:space="preserve">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null3"/>
        <w:jc w:val="both"/>
      </w:pPr>
      <w:r>
        <w:rPr/>
        <w:t>各项评审因素的设置如下：</w:t>
      </w:r>
    </w:p>
    <w:p>
      <w:pPr>
        <w:pStyle w:val="null3"/>
        <w:jc w:val="both"/>
      </w:pPr>
      <w:r>
        <w:rPr/>
        <w:t>价格项（F1×A1）满分为23.0000分</w:t>
      </w:r>
    </w:p>
    <w:p>
      <w:pPr>
        <w:pStyle w:val="null3"/>
        <w:jc w:val="both"/>
      </w:pPr>
      <w:r>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技术项（F2×A2）满分为67.0000分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1、数字福建云计算中心（政务云）机房现状知悉度</w:t>
            </w:r>
          </w:p>
        </w:tc>
        <w:tc>
          <w:tcPr>
            <w:tcW w:type="dxa" w:w="831"/>
          </w:tcPr>
          <w:p>
            <w:pPr>
              <w:pStyle w:val="null3"/>
              <w:jc w:val="right"/>
            </w:pPr>
            <w:r>
              <w:rPr/>
              <w:t>3.0000</w:t>
            </w:r>
          </w:p>
        </w:tc>
        <w:tc>
          <w:tcPr>
            <w:tcW w:type="dxa" w:w="4153"/>
          </w:tcPr>
          <w:p>
            <w:pPr>
              <w:pStyle w:val="null3"/>
              <w:jc w:val="both"/>
            </w:pPr>
            <w:r>
              <w:rPr/>
              <w:t>根据各投标人对数字福建云计算中心（政务云）机房基础环境进行描述，如机柜分布、供配电系统、空调冷冻系统、防雷接地系统、综合布线系统、基础设施管理系统、安防监控系统、机房消防系统、运维监控中心系统、异地灾备中心等方面的准确性情况、详细性情况，由评标委员会进行评分：描述准确、详细的得3分；描述较准确、较详细的得2.9分；描述一般的得2.8分；描述不准确、不详细的不得分。</w:t>
            </w:r>
          </w:p>
        </w:tc>
      </w:tr>
      <w:tr>
        <w:tc>
          <w:tcPr>
            <w:tcW w:type="dxa" w:w="3322"/>
          </w:tcPr>
          <w:p>
            <w:pPr>
              <w:pStyle w:val="null3"/>
              <w:jc w:val="both"/>
            </w:pPr>
            <w:r>
              <w:rPr/>
              <w:t>2、省级政务云平台现状熟悉度</w:t>
            </w:r>
          </w:p>
        </w:tc>
        <w:tc>
          <w:tcPr>
            <w:tcW w:type="dxa" w:w="831"/>
          </w:tcPr>
          <w:p>
            <w:pPr>
              <w:pStyle w:val="null3"/>
              <w:jc w:val="right"/>
            </w:pPr>
            <w:r>
              <w:rPr/>
              <w:t>2.0000</w:t>
            </w:r>
          </w:p>
        </w:tc>
        <w:tc>
          <w:tcPr>
            <w:tcW w:type="dxa" w:w="4153"/>
          </w:tcPr>
          <w:p>
            <w:pPr>
              <w:pStyle w:val="null3"/>
              <w:jc w:val="both"/>
            </w:pPr>
            <w:r>
              <w:rPr/>
              <w:t>根据各投标人对福建省级电子政务云平台现状描述（包括计算资源、安全资源、数据库资源等方面）的准确性情况、详细性情况，由评标委员会进行评分：描述准确、详细的得2分；描述较准确、较详细的得1.9分；描述一般的得1.8分；描述不准确、不详细的不得分。</w:t>
            </w:r>
          </w:p>
        </w:tc>
      </w:tr>
      <w:tr>
        <w:tc>
          <w:tcPr>
            <w:tcW w:type="dxa" w:w="3322"/>
          </w:tcPr>
          <w:p>
            <w:pPr>
              <w:pStyle w:val="null3"/>
              <w:jc w:val="both"/>
            </w:pPr>
            <w:r>
              <w:rPr/>
              <w:t>3、云资源服务方案</w:t>
            </w:r>
          </w:p>
        </w:tc>
        <w:tc>
          <w:tcPr>
            <w:tcW w:type="dxa" w:w="831"/>
          </w:tcPr>
          <w:p>
            <w:pPr>
              <w:pStyle w:val="null3"/>
              <w:jc w:val="right"/>
            </w:pPr>
            <w:r>
              <w:rPr/>
              <w:t>3.0000</w:t>
            </w:r>
          </w:p>
        </w:tc>
        <w:tc>
          <w:tcPr>
            <w:tcW w:type="dxa" w:w="4153"/>
          </w:tcPr>
          <w:p>
            <w:pPr>
              <w:pStyle w:val="null3"/>
              <w:jc w:val="both"/>
            </w:pPr>
            <w:r>
              <w:rPr/>
              <w:t>结合现状及本次招标要求制定本项目云资源服务方案，针对服务内容、责任分工界面、云资源业务流程、资源需求分析与统计、服务承诺、服务报告标准化等方面，由评标委员会进行评分：方案全面、可行的得3分；方案较全面、较可行的得2.9分；方案一般的得2.8分；方案不可行或未提供的不得分。</w:t>
            </w:r>
          </w:p>
        </w:tc>
      </w:tr>
      <w:tr>
        <w:tc>
          <w:tcPr>
            <w:tcW w:type="dxa" w:w="3322"/>
          </w:tcPr>
          <w:p>
            <w:pPr>
              <w:pStyle w:val="null3"/>
              <w:jc w:val="both"/>
            </w:pPr>
            <w:r>
              <w:rPr/>
              <w:t>4、云资源提供效率保证</w:t>
            </w:r>
          </w:p>
        </w:tc>
        <w:tc>
          <w:tcPr>
            <w:tcW w:type="dxa" w:w="831"/>
          </w:tcPr>
          <w:p>
            <w:pPr>
              <w:pStyle w:val="null3"/>
              <w:jc w:val="right"/>
            </w:pPr>
            <w:r>
              <w:rPr/>
              <w:t>2.0000</w:t>
            </w:r>
          </w:p>
        </w:tc>
        <w:tc>
          <w:tcPr>
            <w:tcW w:type="dxa" w:w="4153"/>
          </w:tcPr>
          <w:p>
            <w:pPr>
              <w:pStyle w:val="null3"/>
              <w:jc w:val="both"/>
            </w:pPr>
            <w:r>
              <w:rPr/>
              <w:t>投标人承诺，若中标，应在合同签订生效之日起10个日历日内提供相应规格的云计算资源（详见第五章招标内容及要求“云计算资源租赁服务清单”）的得2分，须提供书面承诺函并加盖公章，否则不得分。</w:t>
            </w:r>
          </w:p>
        </w:tc>
      </w:tr>
      <w:tr>
        <w:tc>
          <w:tcPr>
            <w:tcW w:type="dxa" w:w="3322"/>
          </w:tcPr>
          <w:p>
            <w:pPr>
              <w:pStyle w:val="null3"/>
              <w:jc w:val="both"/>
            </w:pPr>
            <w:r>
              <w:rPr/>
              <w:t>5、运维服务方案</w:t>
            </w:r>
          </w:p>
        </w:tc>
        <w:tc>
          <w:tcPr>
            <w:tcW w:type="dxa" w:w="831"/>
          </w:tcPr>
          <w:p>
            <w:pPr>
              <w:pStyle w:val="null3"/>
              <w:jc w:val="right"/>
            </w:pPr>
            <w:r>
              <w:rPr/>
              <w:t>3.0000</w:t>
            </w:r>
          </w:p>
        </w:tc>
        <w:tc>
          <w:tcPr>
            <w:tcW w:type="dxa" w:w="4153"/>
          </w:tcPr>
          <w:p>
            <w:pPr>
              <w:pStyle w:val="null3"/>
              <w:jc w:val="both"/>
            </w:pPr>
            <w:r>
              <w:rPr/>
              <w:t>结合现状及本次招标要求制定云上业务运维服务方案，根据方案可行性情况，由评标委员会进行评分：方案全面、科学合理的得3分；方案较全面、较合理的得2.9分；方案一般，可行的得2.8分；方案不可行或未提供的不得分。</w:t>
            </w:r>
          </w:p>
        </w:tc>
      </w:tr>
      <w:tr>
        <w:tc>
          <w:tcPr>
            <w:tcW w:type="dxa" w:w="3322"/>
          </w:tcPr>
          <w:p>
            <w:pPr>
              <w:pStyle w:val="null3"/>
              <w:jc w:val="both"/>
            </w:pPr>
            <w:r>
              <w:rPr/>
              <w:t>6、运维服务报告承诺</w:t>
            </w:r>
          </w:p>
        </w:tc>
        <w:tc>
          <w:tcPr>
            <w:tcW w:type="dxa" w:w="831"/>
          </w:tcPr>
          <w:p>
            <w:pPr>
              <w:pStyle w:val="null3"/>
              <w:jc w:val="right"/>
            </w:pPr>
            <w:r>
              <w:rPr/>
              <w:t>3.0000</w:t>
            </w:r>
          </w:p>
        </w:tc>
        <w:tc>
          <w:tcPr>
            <w:tcW w:type="dxa" w:w="4153"/>
          </w:tcPr>
          <w:p>
            <w:pPr>
              <w:pStyle w:val="null3"/>
              <w:jc w:val="both"/>
            </w:pPr>
            <w:r>
              <w:rPr/>
              <w:t>投标人承诺：每月提供一次运维服务报告，报告需包含但不限于以下内容：1)资源统计、2)服务事项分析、3）基础安全数据统计、 4）资源使用情况分析、 5）各类资源扩容或调减建议。投标人承诺可提供5项内容得3分，3至4项内容得2分，1至2项内容得1分，其他不得分。（须提供相关承诺函（格式自拟）并加盖公章，未提供不得分。）</w:t>
            </w:r>
          </w:p>
        </w:tc>
      </w:tr>
      <w:tr>
        <w:tc>
          <w:tcPr>
            <w:tcW w:type="dxa" w:w="3322"/>
          </w:tcPr>
          <w:p>
            <w:pPr>
              <w:pStyle w:val="null3"/>
              <w:jc w:val="both"/>
            </w:pPr>
            <w:r>
              <w:rPr/>
              <w:t>7、数据安全</w:t>
            </w:r>
          </w:p>
        </w:tc>
        <w:tc>
          <w:tcPr>
            <w:tcW w:type="dxa" w:w="831"/>
          </w:tcPr>
          <w:p>
            <w:pPr>
              <w:pStyle w:val="null3"/>
              <w:jc w:val="right"/>
            </w:pPr>
            <w:r>
              <w:rPr/>
              <w:t>3.0000</w:t>
            </w:r>
          </w:p>
        </w:tc>
        <w:tc>
          <w:tcPr>
            <w:tcW w:type="dxa" w:w="4153"/>
          </w:tcPr>
          <w:p>
            <w:pPr>
              <w:pStyle w:val="null3"/>
              <w:jc w:val="both"/>
            </w:pPr>
            <w:r>
              <w:rPr/>
              <w:t>投标人承诺：若中标，对福建省交通信息通信与应急处置中心在投标人云平台上加工、存储、上传、下载、分发以及通过其他方式处理的数据归属福建省交通信息通信与应急处置中心所有，未经福建省交通信息通信与应急处置中心许可，投标人不得访问或使用采购人数据。（须提供书面承诺函并加盖公章，否则不得分）</w:t>
            </w:r>
          </w:p>
        </w:tc>
      </w:tr>
      <w:tr>
        <w:tc>
          <w:tcPr>
            <w:tcW w:type="dxa" w:w="3322"/>
          </w:tcPr>
          <w:p>
            <w:pPr>
              <w:pStyle w:val="null3"/>
              <w:jc w:val="both"/>
            </w:pPr>
            <w:r>
              <w:rPr/>
              <w:t>8、云资源服务线上管理能力</w:t>
            </w:r>
          </w:p>
        </w:tc>
        <w:tc>
          <w:tcPr>
            <w:tcW w:type="dxa" w:w="831"/>
          </w:tcPr>
          <w:p>
            <w:pPr>
              <w:pStyle w:val="null3"/>
              <w:jc w:val="right"/>
            </w:pPr>
            <w:r>
              <w:rPr/>
              <w:t>3.0000</w:t>
            </w:r>
          </w:p>
        </w:tc>
        <w:tc>
          <w:tcPr>
            <w:tcW w:type="dxa" w:w="4153"/>
          </w:tcPr>
          <w:p>
            <w:pPr>
              <w:pStyle w:val="null3"/>
              <w:jc w:val="both"/>
            </w:pPr>
            <w:r>
              <w:rPr/>
              <w:t>为便于采购人使用、管理云资源，投标人承诺提供云资源线上管理配套系统，系统功能包括（1）线上申请云资源功能：可在线申请虚拟机、物理机、共享存储、数据库、负载均衡等资源，可在线提交网络安全防护需求；（2）可在线查看资源的故障告警等功能；（3）可在线提取申请故障工单及查看故障工单处理进度。以上3项功能要求，每满足1项得1分，满分3分。（须提供系统真实功能界面截图，否则不得分）</w:t>
            </w:r>
          </w:p>
        </w:tc>
      </w:tr>
      <w:tr>
        <w:tc>
          <w:tcPr>
            <w:tcW w:type="dxa" w:w="3322"/>
          </w:tcPr>
          <w:p>
            <w:pPr>
              <w:pStyle w:val="null3"/>
              <w:jc w:val="both"/>
            </w:pPr>
            <w:r>
              <w:rPr/>
              <w:t>9、云资源服务可视化能力</w:t>
            </w:r>
          </w:p>
        </w:tc>
        <w:tc>
          <w:tcPr>
            <w:tcW w:type="dxa" w:w="831"/>
          </w:tcPr>
          <w:p>
            <w:pPr>
              <w:pStyle w:val="null3"/>
              <w:jc w:val="right"/>
            </w:pPr>
            <w:r>
              <w:rPr/>
              <w:t>3.0000</w:t>
            </w:r>
          </w:p>
        </w:tc>
        <w:tc>
          <w:tcPr>
            <w:tcW w:type="dxa" w:w="4153"/>
          </w:tcPr>
          <w:p>
            <w:pPr>
              <w:pStyle w:val="null3"/>
              <w:jc w:val="both"/>
            </w:pPr>
            <w:r>
              <w:rPr/>
              <w:t>针对投标人所建设运营的政务云平台具备云资源服务可视化能力进行评分，包括（1）可实时查看业务系统的资源运行状态，能够展示资源总览、资源使用明细、资源风险指标、资源运行健康度、工作台、便捷工具等；（2）可在线选择起止日期查看应用单位已消费的金额统计；（3）可在线实时查看有关设备所在机房的温度、湿度等环境情况。以上3项功能要求每满足一项得1分，满分3分。（须提供系统真实功能界面截图，否则不得分）</w:t>
            </w:r>
          </w:p>
        </w:tc>
      </w:tr>
      <w:tr>
        <w:tc>
          <w:tcPr>
            <w:tcW w:type="dxa" w:w="3322"/>
          </w:tcPr>
          <w:p>
            <w:pPr>
              <w:pStyle w:val="null3"/>
              <w:jc w:val="both"/>
            </w:pPr>
            <w:r>
              <w:rPr/>
              <w:t>10、运维技术支撑团队实力</w:t>
            </w:r>
          </w:p>
        </w:tc>
        <w:tc>
          <w:tcPr>
            <w:tcW w:type="dxa" w:w="831"/>
          </w:tcPr>
          <w:p>
            <w:pPr>
              <w:pStyle w:val="null3"/>
              <w:jc w:val="right"/>
            </w:pPr>
            <w:r>
              <w:rPr/>
              <w:t>3.0000</w:t>
            </w:r>
          </w:p>
        </w:tc>
        <w:tc>
          <w:tcPr>
            <w:tcW w:type="dxa" w:w="4153"/>
          </w:tcPr>
          <w:p>
            <w:pPr>
              <w:pStyle w:val="null3"/>
              <w:jc w:val="both"/>
            </w:pPr>
            <w:r>
              <w:rPr/>
              <w:t>投标人应具备运维技术支撑能力，运维技术支撑团队须在1小时内响应采购人需求，技术支撑团队在满足招标文件要求配备5人的基础上，每增加1人得1分，满分3分，（须提供书面承诺并加盖公章，内容包括但不限于承诺内容、支撑团队人员名单，否则不得分。）</w:t>
            </w:r>
          </w:p>
        </w:tc>
      </w:tr>
      <w:tr>
        <w:tc>
          <w:tcPr>
            <w:tcW w:type="dxa" w:w="3322"/>
          </w:tcPr>
          <w:p>
            <w:pPr>
              <w:pStyle w:val="null3"/>
              <w:jc w:val="both"/>
            </w:pPr>
            <w:r>
              <w:rPr/>
              <w:t>11、提供基础安全服务承诺</w:t>
            </w:r>
          </w:p>
        </w:tc>
        <w:tc>
          <w:tcPr>
            <w:tcW w:type="dxa" w:w="831"/>
          </w:tcPr>
          <w:p>
            <w:pPr>
              <w:pStyle w:val="null3"/>
              <w:jc w:val="right"/>
            </w:pPr>
            <w:r>
              <w:rPr/>
              <w:t>3.0000</w:t>
            </w:r>
          </w:p>
        </w:tc>
        <w:tc>
          <w:tcPr>
            <w:tcW w:type="dxa" w:w="4153"/>
          </w:tcPr>
          <w:p>
            <w:pPr>
              <w:pStyle w:val="null3"/>
              <w:jc w:val="both"/>
            </w:pPr>
            <w:r>
              <w:rPr/>
              <w:t>各投标人承诺对本项目所涉及的福建省政务信息网云计算平台、福建省政务外网云计算平台提供基础安全配套服务，包括安全操作审计服务、（非租户）主机防病毒、（非租户）数据库审计、统一身份认证服务4项基础安全服务。提供上述全部4项服务的得3分；提供其中3项服务的得2分；提供其中2项服务的得1分；提供其中1项服务或无法提供服务或未承诺的不得分。须提供书面承诺函并加盖公章。注：以上所提供的服务相关费用均已涵盖在本项目费用中，不再另行支付。</w:t>
            </w:r>
          </w:p>
        </w:tc>
      </w:tr>
      <w:tr>
        <w:tc>
          <w:tcPr>
            <w:tcW w:type="dxa" w:w="3322"/>
          </w:tcPr>
          <w:p>
            <w:pPr>
              <w:pStyle w:val="null3"/>
              <w:jc w:val="both"/>
            </w:pPr>
            <w:r>
              <w:rPr/>
              <w:t>12、云上安全保障能力1</w:t>
            </w:r>
          </w:p>
        </w:tc>
        <w:tc>
          <w:tcPr>
            <w:tcW w:type="dxa" w:w="831"/>
          </w:tcPr>
          <w:p>
            <w:pPr>
              <w:pStyle w:val="null3"/>
              <w:jc w:val="right"/>
            </w:pPr>
            <w:r>
              <w:rPr/>
              <w:t>3.0000</w:t>
            </w:r>
          </w:p>
        </w:tc>
        <w:tc>
          <w:tcPr>
            <w:tcW w:type="dxa" w:w="4153"/>
          </w:tcPr>
          <w:p>
            <w:pPr>
              <w:pStyle w:val="null3"/>
              <w:jc w:val="both"/>
            </w:pPr>
            <w:r>
              <w:rPr/>
              <w:t>投标人向采购人提供服务的政务云平台具备国家网络安全等级保护2.0三级（含以上）等级的得3分。须提供备案证明、和有效期内的测评报告复印件，否则不得分。</w:t>
            </w:r>
          </w:p>
        </w:tc>
      </w:tr>
      <w:tr>
        <w:tc>
          <w:tcPr>
            <w:tcW w:type="dxa" w:w="3322"/>
          </w:tcPr>
          <w:p>
            <w:pPr>
              <w:pStyle w:val="null3"/>
              <w:jc w:val="both"/>
            </w:pPr>
            <w:r>
              <w:rPr/>
              <w:t>13、云上安全保障能力2</w:t>
            </w:r>
          </w:p>
        </w:tc>
        <w:tc>
          <w:tcPr>
            <w:tcW w:type="dxa" w:w="831"/>
          </w:tcPr>
          <w:p>
            <w:pPr>
              <w:pStyle w:val="null3"/>
              <w:jc w:val="right"/>
            </w:pPr>
            <w:r>
              <w:rPr/>
              <w:t>3.0000</w:t>
            </w:r>
          </w:p>
        </w:tc>
        <w:tc>
          <w:tcPr>
            <w:tcW w:type="dxa" w:w="4153"/>
          </w:tcPr>
          <w:p>
            <w:pPr>
              <w:pStyle w:val="null3"/>
              <w:jc w:val="both"/>
            </w:pPr>
            <w:r>
              <w:rPr/>
              <w:t>投标人提供本项目使用的省级政务云平台具备国家网信办云计算服务安全评估，增强级的得3分，一般级的得1.5分，其他不得分。该评分项以评标委员会通过国家网信办http://www.cac.gov.cn/网站查询到的信息为准。</w:t>
            </w:r>
          </w:p>
        </w:tc>
      </w:tr>
      <w:tr>
        <w:tc>
          <w:tcPr>
            <w:tcW w:type="dxa" w:w="3322"/>
          </w:tcPr>
          <w:p>
            <w:pPr>
              <w:pStyle w:val="null3"/>
              <w:jc w:val="both"/>
            </w:pPr>
            <w:r>
              <w:rPr/>
              <w:t>14、云上安全防御与分析能力1</w:t>
            </w:r>
          </w:p>
        </w:tc>
        <w:tc>
          <w:tcPr>
            <w:tcW w:type="dxa" w:w="831"/>
          </w:tcPr>
          <w:p>
            <w:pPr>
              <w:pStyle w:val="null3"/>
              <w:jc w:val="right"/>
            </w:pPr>
            <w:r>
              <w:rPr/>
              <w:t>3.0000</w:t>
            </w:r>
          </w:p>
        </w:tc>
        <w:tc>
          <w:tcPr>
            <w:tcW w:type="dxa" w:w="4153"/>
          </w:tcPr>
          <w:p>
            <w:pPr>
              <w:pStyle w:val="null3"/>
              <w:jc w:val="both"/>
            </w:pPr>
            <w:r>
              <w:rPr/>
              <w:t>投标人针对采购人部署在省级政务云上的业务系统提供安全防御与分析能力，包括（1）安全大屏展示：可展示安全健康评分、安全漏洞影响度、入侵实时监控等；（2）风险发现：含风险总览、安全补丁、漏洞检测、应用风险等功能；（3）入侵检测：具备暴力破解、异常登录、反弹shell、本地提权、Web后门、可疑操作、动态蜜罐等多个入侵行为检测能力。以上3个功能每满足一项得1分，满分3分。（须提供系统真实功能界面截图，否则不得分）</w:t>
            </w:r>
          </w:p>
        </w:tc>
      </w:tr>
      <w:tr>
        <w:tc>
          <w:tcPr>
            <w:tcW w:type="dxa" w:w="3322"/>
          </w:tcPr>
          <w:p>
            <w:pPr>
              <w:pStyle w:val="null3"/>
              <w:jc w:val="both"/>
            </w:pPr>
            <w:r>
              <w:rPr/>
              <w:t>15、云上安全防御与分析能力2</w:t>
            </w:r>
          </w:p>
        </w:tc>
        <w:tc>
          <w:tcPr>
            <w:tcW w:type="dxa" w:w="831"/>
          </w:tcPr>
          <w:p>
            <w:pPr>
              <w:pStyle w:val="null3"/>
              <w:jc w:val="right"/>
            </w:pPr>
            <w:r>
              <w:rPr/>
              <w:t>2.0000</w:t>
            </w:r>
          </w:p>
        </w:tc>
        <w:tc>
          <w:tcPr>
            <w:tcW w:type="dxa" w:w="4153"/>
          </w:tcPr>
          <w:p>
            <w:pPr>
              <w:pStyle w:val="null3"/>
              <w:jc w:val="both"/>
            </w:pPr>
            <w:r>
              <w:rPr/>
              <w:t>投标人针对采购人部署在省级政务云上的业务系统提供安全防御与分析能力，包括（1）病毒查杀：具备防病毒终端管理、病毒查杀与分析、报表输出等功能；（2）安全运维审计：具备录屏和命令行的记录能力，并能够形成报表输出。以上2个功能每满足一项得1分，满分2分。（须提供系统真实功能界面截图，否则不得分）</w:t>
            </w:r>
          </w:p>
        </w:tc>
      </w:tr>
      <w:tr>
        <w:tc>
          <w:tcPr>
            <w:tcW w:type="dxa" w:w="3322"/>
          </w:tcPr>
          <w:p>
            <w:pPr>
              <w:pStyle w:val="null3"/>
              <w:jc w:val="both"/>
            </w:pPr>
            <w:r>
              <w:rPr/>
              <w:t>16、业务系统安全动态管理能力1</w:t>
            </w:r>
          </w:p>
        </w:tc>
        <w:tc>
          <w:tcPr>
            <w:tcW w:type="dxa" w:w="831"/>
          </w:tcPr>
          <w:p>
            <w:pPr>
              <w:pStyle w:val="null3"/>
              <w:jc w:val="right"/>
            </w:pPr>
            <w:r>
              <w:rPr/>
              <w:t>3.0000</w:t>
            </w:r>
          </w:p>
        </w:tc>
        <w:tc>
          <w:tcPr>
            <w:tcW w:type="dxa" w:w="4153"/>
          </w:tcPr>
          <w:p>
            <w:pPr>
              <w:pStyle w:val="null3"/>
              <w:jc w:val="both"/>
            </w:pPr>
            <w:r>
              <w:rPr/>
              <w:t>投标人针对采购人部署在省级电子政务云上的业务提供线上安全动态管理服务，包括（1）业务安全资产管理；（2）业务安全漏洞管理；（3）业务安全事件管理等方面。以上3个功能每满足一项得1分，满分3分。（须提供系统真实功能界面截图，否则不得分）</w:t>
            </w:r>
          </w:p>
        </w:tc>
      </w:tr>
      <w:tr>
        <w:tc>
          <w:tcPr>
            <w:tcW w:type="dxa" w:w="3322"/>
          </w:tcPr>
          <w:p>
            <w:pPr>
              <w:pStyle w:val="null3"/>
              <w:jc w:val="both"/>
            </w:pPr>
            <w:r>
              <w:rPr/>
              <w:t>17、业务系统安全动态管理能力2</w:t>
            </w:r>
          </w:p>
        </w:tc>
        <w:tc>
          <w:tcPr>
            <w:tcW w:type="dxa" w:w="831"/>
          </w:tcPr>
          <w:p>
            <w:pPr>
              <w:pStyle w:val="null3"/>
              <w:jc w:val="right"/>
            </w:pPr>
            <w:r>
              <w:rPr/>
              <w:t>2.0000</w:t>
            </w:r>
          </w:p>
        </w:tc>
        <w:tc>
          <w:tcPr>
            <w:tcW w:type="dxa" w:w="4153"/>
          </w:tcPr>
          <w:p>
            <w:pPr>
              <w:pStyle w:val="null3"/>
              <w:jc w:val="both"/>
            </w:pPr>
            <w:r>
              <w:rPr/>
              <w:t>投标人针对采购人部署在省级电子政务云上的业务提供线上安全动态管理服务，包括（1）IP黑白名单；（2）安全工单管理等方面。以上2个功能每满足一项得1分，满分2分。（须提供系统真实功能界面截图，否则不得分）</w:t>
            </w:r>
          </w:p>
        </w:tc>
      </w:tr>
      <w:tr>
        <w:tc>
          <w:tcPr>
            <w:tcW w:type="dxa" w:w="3322"/>
          </w:tcPr>
          <w:p>
            <w:pPr>
              <w:pStyle w:val="null3"/>
              <w:jc w:val="both"/>
            </w:pPr>
            <w:r>
              <w:rPr/>
              <w:t>18、云主机数据备份承诺</w:t>
            </w:r>
          </w:p>
        </w:tc>
        <w:tc>
          <w:tcPr>
            <w:tcW w:type="dxa" w:w="831"/>
          </w:tcPr>
          <w:p>
            <w:pPr>
              <w:pStyle w:val="null3"/>
              <w:jc w:val="right"/>
            </w:pPr>
            <w:r>
              <w:rPr/>
              <w:t>3.0000</w:t>
            </w:r>
          </w:p>
        </w:tc>
        <w:tc>
          <w:tcPr>
            <w:tcW w:type="dxa" w:w="4153"/>
          </w:tcPr>
          <w:p>
            <w:pPr>
              <w:pStyle w:val="null3"/>
              <w:jc w:val="both"/>
            </w:pPr>
            <w:r>
              <w:rPr/>
              <w:t>投标人承诺，针对采购人的各信息系统的云主机，提供云平台本地备份服务，并且满足每周进行1次全备、6次增备，备份数据保留时长为2周的得3分（须提供书面承诺函并加盖公章，否则不得分。）</w:t>
            </w:r>
          </w:p>
        </w:tc>
      </w:tr>
      <w:tr>
        <w:tc>
          <w:tcPr>
            <w:tcW w:type="dxa" w:w="3322"/>
          </w:tcPr>
          <w:p>
            <w:pPr>
              <w:pStyle w:val="null3"/>
              <w:jc w:val="both"/>
            </w:pPr>
            <w:r>
              <w:rPr/>
              <w:t>19、数据备份服务方案</w:t>
            </w:r>
          </w:p>
        </w:tc>
        <w:tc>
          <w:tcPr>
            <w:tcW w:type="dxa" w:w="831"/>
          </w:tcPr>
          <w:p>
            <w:pPr>
              <w:pStyle w:val="null3"/>
              <w:jc w:val="right"/>
            </w:pPr>
            <w:r>
              <w:rPr/>
              <w:t>3.0000</w:t>
            </w:r>
          </w:p>
        </w:tc>
        <w:tc>
          <w:tcPr>
            <w:tcW w:type="dxa" w:w="4153"/>
          </w:tcPr>
          <w:p>
            <w:pPr>
              <w:pStyle w:val="null3"/>
              <w:jc w:val="both"/>
            </w:pPr>
            <w:r>
              <w:rPr/>
              <w:t>针对投标人在数据安全备份方面的技术服务方案，方案内容包括：备份部署架构、策略、机制等，由评标委员会进行评分，方案全面、科学合理的得3分；方案较全面、较合理的得2.9分；方案一般，可行的得2.8分；方案不可行或未提供的不得分。</w:t>
            </w:r>
          </w:p>
        </w:tc>
      </w:tr>
      <w:tr>
        <w:tc>
          <w:tcPr>
            <w:tcW w:type="dxa" w:w="3322"/>
          </w:tcPr>
          <w:p>
            <w:pPr>
              <w:pStyle w:val="null3"/>
              <w:jc w:val="both"/>
            </w:pPr>
            <w:r>
              <w:rPr/>
              <w:t>20、云安全服务方案</w:t>
            </w:r>
          </w:p>
        </w:tc>
        <w:tc>
          <w:tcPr>
            <w:tcW w:type="dxa" w:w="831"/>
          </w:tcPr>
          <w:p>
            <w:pPr>
              <w:pStyle w:val="null3"/>
              <w:jc w:val="right"/>
            </w:pPr>
            <w:r>
              <w:rPr/>
              <w:t>3.0000</w:t>
            </w:r>
          </w:p>
        </w:tc>
        <w:tc>
          <w:tcPr>
            <w:tcW w:type="dxa" w:w="4153"/>
          </w:tcPr>
          <w:p>
            <w:pPr>
              <w:pStyle w:val="null3"/>
              <w:jc w:val="both"/>
            </w:pPr>
            <w:r>
              <w:rPr/>
              <w:t>根据各投标人结合本次招标要求制定云上应用安全保障服务方案，根据方案可行性情况，由评委进行评分：方案详实、完整、可操作的得3分；方案部分详实或部分内容可操作性得2.9分；方案阐述简短或无实质内容的得2.8分；方案不可行或未提供的不得分。</w:t>
            </w:r>
          </w:p>
        </w:tc>
      </w:tr>
      <w:tr>
        <w:tc>
          <w:tcPr>
            <w:tcW w:type="dxa" w:w="3322"/>
          </w:tcPr>
          <w:p>
            <w:pPr>
              <w:pStyle w:val="null3"/>
              <w:jc w:val="both"/>
            </w:pPr>
            <w:r>
              <w:rPr/>
              <w:t>21、业务网络流量分析服务方案</w:t>
            </w:r>
          </w:p>
        </w:tc>
        <w:tc>
          <w:tcPr>
            <w:tcW w:type="dxa" w:w="831"/>
          </w:tcPr>
          <w:p>
            <w:pPr>
              <w:pStyle w:val="null3"/>
              <w:jc w:val="right"/>
            </w:pPr>
            <w:r>
              <w:rPr/>
              <w:t>3.0000</w:t>
            </w:r>
          </w:p>
        </w:tc>
        <w:tc>
          <w:tcPr>
            <w:tcW w:type="dxa" w:w="4153"/>
          </w:tcPr>
          <w:p>
            <w:pPr>
              <w:pStyle w:val="null3"/>
              <w:jc w:val="both"/>
            </w:pPr>
            <w:r>
              <w:rPr/>
              <w:t>投标人结合采购人部署在数字福建云计算中心（政务云）的互联网业务系统制定业务网络流量分析服务方案。针对政务云上业务安全资产报告、互联网出口流量分析需求、流量分析支撑平台架构、流量分析支撑平台部署模式、全流量审计、应用协议识别、深度威胁检测、威胁行为分析等方面，由评标委员会进行评分：方案完整合理可行，项目针对性强的得3分；方案较完整合理可行，部分具有项目针对性的得2.9分；方案不够完整、不够合理可行，项目针对性弱的得2.8分；方案不可行或未提供的不得分。</w:t>
            </w:r>
          </w:p>
        </w:tc>
      </w:tr>
      <w:tr>
        <w:tc>
          <w:tcPr>
            <w:tcW w:type="dxa" w:w="3322"/>
          </w:tcPr>
          <w:p>
            <w:pPr>
              <w:pStyle w:val="null3"/>
              <w:jc w:val="both"/>
            </w:pPr>
            <w:r>
              <w:rPr/>
              <w:t>22、应急预案</w:t>
            </w:r>
          </w:p>
        </w:tc>
        <w:tc>
          <w:tcPr>
            <w:tcW w:type="dxa" w:w="831"/>
          </w:tcPr>
          <w:p>
            <w:pPr>
              <w:pStyle w:val="null3"/>
              <w:jc w:val="right"/>
            </w:pPr>
            <w:r>
              <w:rPr/>
              <w:t>3.0000</w:t>
            </w:r>
          </w:p>
        </w:tc>
        <w:tc>
          <w:tcPr>
            <w:tcW w:type="dxa" w:w="4153"/>
          </w:tcPr>
          <w:p>
            <w:pPr>
              <w:pStyle w:val="null3"/>
              <w:jc w:val="both"/>
            </w:pPr>
            <w:r>
              <w:rPr/>
              <w:t>投标人针对本项目特点制定应急预案，包括：应急工作小组、预案启动条件、应急处理流程、故障级别及通报、应急恢复处理措施、保障措施等，由评标委员会进行评分：方案全面、条理清晰、可行性强的得3分；方案较全面、较合理的得2.9分；方案一般，可行性弱的得2.8分；方案不可行或未提供的不得分。</w:t>
            </w:r>
          </w:p>
        </w:tc>
      </w:tr>
      <w:tr>
        <w:tc>
          <w:tcPr>
            <w:tcW w:type="dxa" w:w="3322"/>
          </w:tcPr>
          <w:p>
            <w:pPr>
              <w:pStyle w:val="null3"/>
              <w:jc w:val="both"/>
            </w:pPr>
            <w:r>
              <w:rPr/>
              <w:t>23、团队人员能力1</w:t>
            </w:r>
          </w:p>
        </w:tc>
        <w:tc>
          <w:tcPr>
            <w:tcW w:type="dxa" w:w="831"/>
          </w:tcPr>
          <w:p>
            <w:pPr>
              <w:pStyle w:val="null3"/>
              <w:jc w:val="right"/>
            </w:pPr>
            <w:r>
              <w:rPr/>
              <w:t>2.0000</w:t>
            </w:r>
          </w:p>
        </w:tc>
        <w:tc>
          <w:tcPr>
            <w:tcW w:type="dxa" w:w="4153"/>
          </w:tcPr>
          <w:p>
            <w:pPr>
              <w:pStyle w:val="null3"/>
              <w:jc w:val="both"/>
            </w:pPr>
            <w:r>
              <w:rPr/>
              <w:t>投标人拟投入本项目的团队中同时具有中国信息安全测评中心颁发的CISP证书和通过全国计算机技术与软件专业技术资格（水平）考试获得的网络工程师证书，每提供一人得1分，满分2分。需提供书面承诺函承诺以上团队成员有投入本项目、有效证书复印件及投标截止时间前六个月(不含投标截止时间当月)任意一个月投标人为其缴纳社保证明，否则不得分。注：团队人员能力1-3评分项中提供的人员不得重复，若有重复，该人员在所涉及的评分项均不得分。</w:t>
            </w:r>
          </w:p>
        </w:tc>
      </w:tr>
      <w:tr>
        <w:tc>
          <w:tcPr>
            <w:tcW w:type="dxa" w:w="3322"/>
          </w:tcPr>
          <w:p>
            <w:pPr>
              <w:pStyle w:val="null3"/>
              <w:jc w:val="both"/>
            </w:pPr>
            <w:r>
              <w:rPr/>
              <w:t>24、团队人员能力2</w:t>
            </w:r>
          </w:p>
        </w:tc>
        <w:tc>
          <w:tcPr>
            <w:tcW w:type="dxa" w:w="831"/>
          </w:tcPr>
          <w:p>
            <w:pPr>
              <w:pStyle w:val="null3"/>
              <w:jc w:val="right"/>
            </w:pPr>
            <w:r>
              <w:rPr/>
              <w:t>1.0000</w:t>
            </w:r>
          </w:p>
        </w:tc>
        <w:tc>
          <w:tcPr>
            <w:tcW w:type="dxa" w:w="4153"/>
          </w:tcPr>
          <w:p>
            <w:pPr>
              <w:pStyle w:val="null3"/>
              <w:jc w:val="both"/>
            </w:pPr>
            <w:r>
              <w:rPr/>
              <w:t>投标人拟投入本项目的团队中具有通过全国计算机技术与软件专业技术资格（水平）考试获得信息系统项目管理师证书，每提供一人得1分，满分1分。需提供书面承诺函承诺以上团队成员有投入本项目、有效证书复印件及投标文件递交截止时间前六个月（不含投标截止时间当月）任意一个月投标人为其缴纳社保证明，否则不得分。注：团队人员能力1-3评分项中提供的人员不得重复，若有重复，该人员在所涉及的评分项均不得分。</w:t>
            </w:r>
          </w:p>
        </w:tc>
      </w:tr>
      <w:tr>
        <w:tc>
          <w:tcPr>
            <w:tcW w:type="dxa" w:w="3322"/>
          </w:tcPr>
          <w:p>
            <w:pPr>
              <w:pStyle w:val="null3"/>
              <w:jc w:val="both"/>
            </w:pPr>
            <w:r>
              <w:rPr/>
              <w:t>25、团队人员能力3</w:t>
            </w:r>
          </w:p>
        </w:tc>
        <w:tc>
          <w:tcPr>
            <w:tcW w:type="dxa" w:w="831"/>
          </w:tcPr>
          <w:p>
            <w:pPr>
              <w:pStyle w:val="null3"/>
              <w:jc w:val="right"/>
            </w:pPr>
            <w:r>
              <w:rPr/>
              <w:t>2.0000</w:t>
            </w:r>
          </w:p>
        </w:tc>
        <w:tc>
          <w:tcPr>
            <w:tcW w:type="dxa" w:w="4153"/>
          </w:tcPr>
          <w:p>
            <w:pPr>
              <w:pStyle w:val="null3"/>
              <w:jc w:val="both"/>
            </w:pPr>
            <w:r>
              <w:rPr/>
              <w:t>投标人拟投入本项目的团队中具有通过全国计算机技术与软件专业技术资格（水平）考试获得系统集成项目管理工程师证书或信息安全工程师证书，每提供一人得1分，满分2分。需提供书面承诺函承诺以上团队成员有投入本项目、有效证书复印件及投标文件递交截止时间前六个月（不含投标截止时间当月）任意一个月投标人为其缴纳社保证明，否则不得分。注：团队人员能力1-3评分项中提供的人员不得重复，若有重复，该人员在所涉及的评分项均不得分。</w:t>
            </w:r>
          </w:p>
        </w:tc>
      </w:tr>
    </w:tbl>
    <w:p>
      <w:pPr>
        <w:pStyle w:val="null3"/>
        <w:jc w:val="both"/>
      </w:pPr>
      <w:r>
        <w:rPr/>
        <w:t>商务项（F3×A3）满分为10.0000分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体系认证1</w:t>
            </w:r>
          </w:p>
        </w:tc>
        <w:tc>
          <w:tcPr>
            <w:tcW w:type="dxa" w:w="831"/>
          </w:tcPr>
          <w:p>
            <w:pPr>
              <w:pStyle w:val="null3"/>
              <w:jc w:val="right"/>
            </w:pPr>
            <w:r>
              <w:rPr/>
              <w:t>1.0000</w:t>
            </w:r>
          </w:p>
        </w:tc>
        <w:tc>
          <w:tcPr>
            <w:tcW w:type="dxa" w:w="4153"/>
          </w:tcPr>
          <w:p>
            <w:pPr>
              <w:pStyle w:val="null3"/>
              <w:jc w:val="both"/>
            </w:pPr>
            <w:r>
              <w:rPr/>
              <w:t>投标人具有有效的质量管理体系认证证书(GB/T 19001-2016/ISO9001:2015)得1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注：投标人（供应商）提供的证明材料中载明的标准与本评分项注明标准不一致的，本项不得分。</w:t>
            </w:r>
          </w:p>
        </w:tc>
      </w:tr>
      <w:tr>
        <w:tc>
          <w:tcPr>
            <w:tcW w:type="dxa" w:w="3322"/>
          </w:tcPr>
          <w:p>
            <w:pPr>
              <w:pStyle w:val="null3"/>
              <w:jc w:val="both"/>
            </w:pPr>
            <w:r>
              <w:rPr/>
              <w:t>体系认证2</w:t>
            </w:r>
          </w:p>
        </w:tc>
        <w:tc>
          <w:tcPr>
            <w:tcW w:type="dxa" w:w="831"/>
          </w:tcPr>
          <w:p>
            <w:pPr>
              <w:pStyle w:val="null3"/>
              <w:jc w:val="right"/>
            </w:pPr>
            <w:r>
              <w:rPr/>
              <w:t>1.0000</w:t>
            </w:r>
          </w:p>
        </w:tc>
        <w:tc>
          <w:tcPr>
            <w:tcW w:type="dxa" w:w="4153"/>
          </w:tcPr>
          <w:p>
            <w:pPr>
              <w:pStyle w:val="null3"/>
              <w:jc w:val="both"/>
            </w:pPr>
            <w:r>
              <w:rPr/>
              <w:t>投标人具有有效的信息安全管理体系认证证书（ISO/IEC 27001：2022或GB/T 22080-2016/ISO/IEC 27001:2013）得1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注：投标人（供应商）提供的证明材料中载明的标准与本评分项注明标准不一致的，本项不得分。</w:t>
            </w:r>
          </w:p>
        </w:tc>
      </w:tr>
      <w:tr>
        <w:tc>
          <w:tcPr>
            <w:tcW w:type="dxa" w:w="3322"/>
          </w:tcPr>
          <w:p>
            <w:pPr>
              <w:pStyle w:val="null3"/>
              <w:jc w:val="both"/>
            </w:pPr>
            <w:r>
              <w:rPr/>
              <w:t>体系认证3</w:t>
            </w:r>
          </w:p>
        </w:tc>
        <w:tc>
          <w:tcPr>
            <w:tcW w:type="dxa" w:w="831"/>
          </w:tcPr>
          <w:p>
            <w:pPr>
              <w:pStyle w:val="null3"/>
              <w:jc w:val="right"/>
            </w:pPr>
            <w:r>
              <w:rPr/>
              <w:t>1.0000</w:t>
            </w:r>
          </w:p>
        </w:tc>
        <w:tc>
          <w:tcPr>
            <w:tcW w:type="dxa" w:w="4153"/>
          </w:tcPr>
          <w:p>
            <w:pPr>
              <w:pStyle w:val="null3"/>
              <w:jc w:val="both"/>
            </w:pPr>
            <w:r>
              <w:rPr/>
              <w:t>投标人具有有效的知识产权管理体系认证证书（GB/T 29490-2023或GB/T 29490-2013）得1分，须提供有效体系认证证书复印件，评标委员会将通过中国国家认证认可监督管理委员会(http：//www.cnca.gov.cn)或中国合格评定国家认可委员会(https：//www.cnas.org.cn)网站查询所提供证书的有效性。若投标人提供的证书复印件中信息与所查询的信息不一致的，本项不得分。注：投标人（供应商）提供的证明材料中载明的标准与本评分项注明标准不一致的，本项不得分。</w:t>
            </w:r>
          </w:p>
        </w:tc>
      </w:tr>
      <w:tr>
        <w:tc>
          <w:tcPr>
            <w:tcW w:type="dxa" w:w="3322"/>
          </w:tcPr>
          <w:p>
            <w:pPr>
              <w:pStyle w:val="null3"/>
              <w:jc w:val="both"/>
            </w:pPr>
            <w:r>
              <w:rPr/>
              <w:t>投标人实力1</w:t>
            </w:r>
          </w:p>
        </w:tc>
        <w:tc>
          <w:tcPr>
            <w:tcW w:type="dxa" w:w="831"/>
          </w:tcPr>
          <w:p>
            <w:pPr>
              <w:pStyle w:val="null3"/>
              <w:jc w:val="right"/>
            </w:pPr>
            <w:r>
              <w:rPr/>
              <w:t>1.0000</w:t>
            </w:r>
          </w:p>
        </w:tc>
        <w:tc>
          <w:tcPr>
            <w:tcW w:type="dxa" w:w="4153"/>
          </w:tcPr>
          <w:p>
            <w:pPr>
              <w:pStyle w:val="null3"/>
              <w:jc w:val="both"/>
            </w:pPr>
            <w:r>
              <w:rPr/>
              <w:t>投标人具有ITSS信息技术服务标准符合性证书（业务领域：运行维护）的得1分，须提供有效证书复印件并加盖投标人公章，否则不得分。</w:t>
            </w:r>
          </w:p>
        </w:tc>
      </w:tr>
      <w:tr>
        <w:tc>
          <w:tcPr>
            <w:tcW w:type="dxa" w:w="3322"/>
          </w:tcPr>
          <w:p>
            <w:pPr>
              <w:pStyle w:val="null3"/>
              <w:jc w:val="both"/>
            </w:pPr>
            <w:r>
              <w:rPr/>
              <w:t>投标人实力2</w:t>
            </w:r>
          </w:p>
        </w:tc>
        <w:tc>
          <w:tcPr>
            <w:tcW w:type="dxa" w:w="831"/>
          </w:tcPr>
          <w:p>
            <w:pPr>
              <w:pStyle w:val="null3"/>
              <w:jc w:val="right"/>
            </w:pPr>
            <w:r>
              <w:rPr/>
              <w:t>1.0000</w:t>
            </w:r>
          </w:p>
        </w:tc>
        <w:tc>
          <w:tcPr>
            <w:tcW w:type="dxa" w:w="4153"/>
          </w:tcPr>
          <w:p>
            <w:pPr>
              <w:pStyle w:val="null3"/>
              <w:jc w:val="both"/>
            </w:pPr>
            <w:r>
              <w:rPr/>
              <w:t>投标人具有省级（含）以上版权局颁发的云安全相关计算机软件著作权证书得1分，须提供有效证书复印件并加盖投标人公章，否则不得分。</w:t>
            </w:r>
          </w:p>
        </w:tc>
      </w:tr>
      <w:tr>
        <w:tc>
          <w:tcPr>
            <w:tcW w:type="dxa" w:w="3322"/>
          </w:tcPr>
          <w:p>
            <w:pPr>
              <w:pStyle w:val="null3"/>
              <w:jc w:val="both"/>
            </w:pPr>
            <w:r>
              <w:rPr/>
              <w:t>业绩</w:t>
            </w:r>
          </w:p>
        </w:tc>
        <w:tc>
          <w:tcPr>
            <w:tcW w:type="dxa" w:w="831"/>
          </w:tcPr>
          <w:p>
            <w:pPr>
              <w:pStyle w:val="null3"/>
              <w:jc w:val="right"/>
            </w:pPr>
            <w:r>
              <w:rPr/>
              <w:t>3.0000</w:t>
            </w:r>
          </w:p>
        </w:tc>
        <w:tc>
          <w:tcPr>
            <w:tcW w:type="dxa" w:w="4153"/>
          </w:tcPr>
          <w:p>
            <w:pPr>
              <w:pStyle w:val="null3"/>
              <w:jc w:val="both"/>
            </w:pPr>
            <w:r>
              <w:rPr/>
              <w:t>投标人自2022年1月1日（含）至投标截止时间止，已完成同类云资源项目业绩（以项目验收时间为准），每提供一个得1分，满分3分。须提供该业绩项目的中标公告(提供相关网站中标公告的下载网页并注明网址)、中标通知书复印件、采购合同复印件，以及能够证明该业绩项目已经获得采购人验收合格的相关证明文件复印件并加盖投标人公章，所有材料缺一不可，否则不得分。业绩与满意度评价两个评分项涉及同一项目的不重复评分。</w:t>
            </w:r>
          </w:p>
        </w:tc>
      </w:tr>
      <w:tr>
        <w:tc>
          <w:tcPr>
            <w:tcW w:type="dxa" w:w="3322"/>
          </w:tcPr>
          <w:p>
            <w:pPr>
              <w:pStyle w:val="null3"/>
              <w:jc w:val="both"/>
            </w:pPr>
            <w:r>
              <w:rPr/>
              <w:t>满意度评价</w:t>
            </w:r>
          </w:p>
        </w:tc>
        <w:tc>
          <w:tcPr>
            <w:tcW w:type="dxa" w:w="831"/>
          </w:tcPr>
          <w:p>
            <w:pPr>
              <w:pStyle w:val="null3"/>
              <w:jc w:val="right"/>
            </w:pPr>
            <w:r>
              <w:rPr/>
              <w:t>2.0000</w:t>
            </w:r>
          </w:p>
        </w:tc>
        <w:tc>
          <w:tcPr>
            <w:tcW w:type="dxa" w:w="4153"/>
          </w:tcPr>
          <w:p>
            <w:pPr>
              <w:pStyle w:val="null3"/>
              <w:jc w:val="both"/>
            </w:pPr>
            <w:r>
              <w:rPr/>
              <w:t>投标人自2022年1月1日（含）至投标截止时间止，在网络安全服务保障中获得表扬或肯定性评价意见(如优秀或满意或好)的证明，每提供1份得1分，满分2分。须提供项目的中标公告(提供相关网站中标公告的下载网页并注明网址)、中标通知书复印件、采购合同复印件，以及感谢信或肯定性评价意见的证明材料复印件加盖投标人公章，所有材料缺一不可，否则不得分。业绩与满意度评价两个评分项涉及同一项目的不重复评分。</w:t>
            </w:r>
          </w:p>
        </w:tc>
      </w:tr>
    </w:tbl>
    <w:p>
      <w:pPr>
        <w:pStyle w:val="null3"/>
        <w:jc w:val="both"/>
      </w:pPr>
      <w:r>
        <w:rPr/>
        <w:t>※除本章第6.3条第（3）款规定情形和落实政府采购政策需进行的价格扣除情形外，不能对投标人的投标报价进行任何调整。</w:t>
      </w:r>
    </w:p>
    <w:p>
      <w:pPr>
        <w:pStyle w:val="null3"/>
        <w:jc w:val="both"/>
      </w:pPr>
      <w:r>
        <w:rPr/>
        <w:t>（3）中标候选人排列规则顺序如下：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sz w:val="36"/>
          <w:b/>
        </w:rPr>
        <w:t>第五章 招标内容及要求</w:t>
      </w:r>
    </w:p>
    <w:p>
      <w:pPr>
        <w:pStyle w:val="null3"/>
        <w:jc w:val="both"/>
        <w:outlineLvl w:val="2"/>
      </w:pPr>
      <w:r>
        <w:rPr>
          <w:sz w:val="28"/>
          <w:b/>
        </w:rPr>
        <w:t>一、项目概况（采购标的）</w:t>
      </w:r>
    </w:p>
    <w:p>
      <w:pPr>
        <w:pStyle w:val="null3"/>
        <w:numPr>
          <w:ilvl w:val="0"/>
          <w:numId w:val="1"/>
        </w:numPr>
        <w:ind w:firstLine="480"/>
        <w:jc w:val="both"/>
      </w:pPr>
      <w:r>
        <w:rPr>
          <w:rFonts w:ascii="宋体" w:hAnsi="宋体" w:cs="宋体" w:eastAsia="宋体"/>
          <w:sz w:val="20"/>
        </w:rPr>
        <w:t>本项目为福建省交通信息通信与应急处置中心云资源租赁服务，服务期为</w:t>
      </w:r>
      <w:r>
        <w:rPr>
          <w:rFonts w:ascii="宋体" w:hAnsi="宋体" w:cs="宋体" w:eastAsia="宋体"/>
          <w:sz w:val="20"/>
        </w:rPr>
        <w:t>三</w:t>
      </w:r>
      <w:r>
        <w:rPr>
          <w:rFonts w:ascii="宋体" w:hAnsi="宋体" w:cs="宋体" w:eastAsia="宋体"/>
          <w:sz w:val="20"/>
        </w:rPr>
        <w:t>年：</w:t>
      </w:r>
      <w:r>
        <w:rPr>
          <w:rFonts w:ascii="宋体" w:hAnsi="宋体" w:cs="宋体" w:eastAsia="宋体"/>
          <w:sz w:val="20"/>
        </w:rPr>
        <w:t>202</w:t>
      </w:r>
      <w:r>
        <w:rPr>
          <w:rFonts w:ascii="宋体" w:hAnsi="宋体" w:cs="宋体" w:eastAsia="宋体"/>
          <w:sz w:val="20"/>
        </w:rPr>
        <w:t>5</w:t>
      </w:r>
      <w:r>
        <w:rPr>
          <w:rFonts w:ascii="宋体" w:hAnsi="宋体" w:cs="宋体" w:eastAsia="宋体"/>
          <w:sz w:val="20"/>
        </w:rPr>
        <w:t>年</w:t>
      </w:r>
      <w:r>
        <w:rPr>
          <w:rFonts w:ascii="宋体" w:hAnsi="宋体" w:cs="宋体" w:eastAsia="宋体"/>
          <w:sz w:val="20"/>
        </w:rPr>
        <w:t>1月1日至202</w:t>
      </w:r>
      <w:r>
        <w:rPr>
          <w:rFonts w:ascii="宋体" w:hAnsi="宋体" w:cs="宋体" w:eastAsia="宋体"/>
          <w:sz w:val="20"/>
        </w:rPr>
        <w:t>7</w:t>
      </w:r>
      <w:r>
        <w:rPr>
          <w:rFonts w:ascii="宋体" w:hAnsi="宋体" w:cs="宋体" w:eastAsia="宋体"/>
          <w:sz w:val="20"/>
        </w:rPr>
        <w:t>年</w:t>
      </w:r>
      <w:r>
        <w:rPr>
          <w:rFonts w:ascii="宋体" w:hAnsi="宋体" w:cs="宋体" w:eastAsia="宋体"/>
          <w:sz w:val="20"/>
        </w:rPr>
        <w:t>12月31日。</w:t>
      </w:r>
    </w:p>
    <w:p>
      <w:pPr>
        <w:pStyle w:val="null3"/>
        <w:numPr>
          <w:ilvl w:val="0"/>
          <w:numId w:val="1"/>
        </w:numPr>
        <w:ind w:firstLine="480"/>
        <w:jc w:val="both"/>
      </w:pPr>
      <w:r>
        <w:rPr>
          <w:rFonts w:ascii="宋体" w:hAnsi="宋体" w:cs="宋体" w:eastAsia="宋体"/>
          <w:sz w:val="20"/>
        </w:rPr>
        <w:t>所属行业：信息传输业（包括电信、互联网和相关服务）。</w:t>
      </w:r>
    </w:p>
    <w:p>
      <w:pPr>
        <w:pStyle w:val="null3"/>
        <w:jc w:val="both"/>
        <w:outlineLvl w:val="2"/>
      </w:pPr>
      <w:r>
        <w:rPr>
          <w:sz w:val="28"/>
          <w:b/>
        </w:rPr>
        <w:t>二、技术和服务要求（以“★”标示的内容为不允许负偏离的实质性要求）</w:t>
      </w:r>
    </w:p>
    <w:p>
      <w:pPr>
        <w:pStyle w:val="null3"/>
        <w:jc w:val="left"/>
      </w:pPr>
      <w:r>
        <w:rPr>
          <w:rFonts w:ascii="宋体" w:hAnsi="宋体" w:cs="宋体" w:eastAsia="宋体"/>
          <w:sz w:val="20"/>
        </w:rPr>
        <w:t>1.云计算资源租赁服务清单：</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844"/>
        <w:gridCol w:w="1647"/>
        <w:gridCol w:w="2731"/>
        <w:gridCol w:w="985"/>
        <w:gridCol w:w="1168"/>
        <w:gridCol w:w="1450"/>
        <w:gridCol w:w="1520"/>
      </w:tblGrid>
      <w:tr>
        <w:tc>
          <w:tcPr>
            <w:tcW w:type="dxa" w:w="844"/>
            <w:vMerge w:val="restart"/>
            <w:tcBorders>
              <w:top w:val="single" w:color="000000" w:sz="4"/>
              <w:left w:val="single" w:color="000000" w:sz="4"/>
              <w:bottom w:val="single" w:color="000000" w:sz="4"/>
              <w:right w:val="single" w:color="000000" w:sz="4"/>
            </w:tcBorders>
            <w:shd w:fill="FEFEFE"/>
            <w:tcMar>
              <w:top w:type="dxa" w:w="0"/>
              <w:left w:type="dxa" w:w="105"/>
              <w:bottom w:type="dxa" w:w="0"/>
              <w:right w:type="dxa" w:w="105"/>
            </w:tcMar>
            <w:vAlign w:val="top"/>
          </w:tcPr>
          <w:p>
            <w:pPr>
              <w:pStyle w:val="null3"/>
              <w:jc w:val="center"/>
            </w:pPr>
            <w:r>
              <w:rPr>
                <w:rFonts w:ascii="宋体" w:hAnsi="宋体" w:cs="宋体" w:eastAsia="宋体"/>
                <w:sz w:val="20"/>
                <w:b/>
              </w:rPr>
              <w:t>序号</w:t>
            </w:r>
          </w:p>
        </w:tc>
        <w:tc>
          <w:tcPr>
            <w:tcW w:type="dxa" w:w="1647"/>
            <w:vMerge w:val="restart"/>
            <w:tcBorders>
              <w:top w:val="single" w:color="000000" w:sz="4"/>
              <w:left w:val="none" w:color="000000" w:sz="4"/>
              <w:bottom w:val="single" w:color="000000" w:sz="4"/>
              <w:right w:val="single" w:color="000000" w:sz="4"/>
            </w:tcBorders>
            <w:shd w:fill="F7F7F7"/>
            <w:tcMar>
              <w:top w:type="dxa" w:w="0"/>
              <w:left w:type="dxa" w:w="105"/>
              <w:bottom w:type="dxa" w:w="0"/>
              <w:right w:type="dxa" w:w="105"/>
            </w:tcMar>
            <w:vAlign w:val="top"/>
          </w:tcPr>
          <w:p>
            <w:pPr>
              <w:pStyle w:val="null3"/>
              <w:jc w:val="center"/>
            </w:pPr>
            <w:r>
              <w:rPr>
                <w:rFonts w:ascii="宋体" w:hAnsi="宋体" w:cs="宋体" w:eastAsia="宋体"/>
                <w:sz w:val="20"/>
                <w:b/>
              </w:rPr>
              <w:t>项目名称</w:t>
            </w:r>
          </w:p>
        </w:tc>
        <w:tc>
          <w:tcPr>
            <w:tcW w:type="dxa" w:w="2731"/>
            <w:vMerge w:val="restart"/>
            <w:tcBorders>
              <w:top w:val="single" w:color="000000" w:sz="4"/>
              <w:left w:val="none" w:color="000000" w:sz="4"/>
              <w:bottom w:val="single" w:color="000000" w:sz="4"/>
              <w:right w:val="single" w:color="000000" w:sz="4"/>
            </w:tcBorders>
            <w:shd w:fill="F9F9F8"/>
            <w:tcMar>
              <w:top w:type="dxa" w:w="0"/>
              <w:left w:type="dxa" w:w="105"/>
              <w:bottom w:type="dxa" w:w="0"/>
              <w:right w:type="dxa" w:w="105"/>
            </w:tcMar>
            <w:vAlign w:val="top"/>
          </w:tcPr>
          <w:p>
            <w:pPr>
              <w:pStyle w:val="null3"/>
              <w:jc w:val="center"/>
            </w:pPr>
            <w:r>
              <w:rPr>
                <w:rFonts w:ascii="宋体" w:hAnsi="宋体" w:cs="宋体" w:eastAsia="宋体"/>
                <w:sz w:val="20"/>
                <w:b/>
              </w:rPr>
              <w:t>规格</w:t>
            </w:r>
          </w:p>
        </w:tc>
        <w:tc>
          <w:tcPr>
            <w:tcW w:type="dxa" w:w="985"/>
            <w:vMerge w:val="restart"/>
            <w:tcBorders>
              <w:top w:val="single" w:color="000000" w:sz="4"/>
              <w:left w:val="none" w:color="000000" w:sz="4"/>
              <w:bottom w:val="single" w:color="000000" w:sz="4"/>
              <w:right w:val="single" w:color="000000" w:sz="4"/>
            </w:tcBorders>
            <w:shd w:fill="FBFBFB"/>
            <w:tcMar>
              <w:top w:type="dxa" w:w="0"/>
              <w:left w:type="dxa" w:w="105"/>
              <w:bottom w:type="dxa" w:w="0"/>
              <w:right w:type="dxa" w:w="105"/>
            </w:tcMar>
            <w:vAlign w:val="top"/>
          </w:tcPr>
          <w:p>
            <w:pPr>
              <w:pStyle w:val="null3"/>
              <w:jc w:val="center"/>
            </w:pPr>
            <w:r>
              <w:rPr>
                <w:rFonts w:ascii="宋体" w:hAnsi="宋体" w:cs="宋体" w:eastAsia="宋体"/>
                <w:sz w:val="20"/>
                <w:b/>
              </w:rPr>
              <w:t>单位</w:t>
            </w:r>
          </w:p>
        </w:tc>
        <w:tc>
          <w:tcPr>
            <w:tcW w:type="dxa" w:w="1168"/>
            <w:vMerge w:val="restart"/>
            <w:tcBorders>
              <w:top w:val="single" w:color="000000" w:sz="4"/>
              <w:left w:val="none" w:color="000000" w:sz="4"/>
              <w:bottom w:val="single" w:color="000000" w:sz="4"/>
              <w:right w:val="single" w:color="000000" w:sz="4"/>
            </w:tcBorders>
            <w:shd w:fill="FBFBFB"/>
            <w:tcMar>
              <w:top w:type="dxa" w:w="0"/>
              <w:left w:type="dxa" w:w="105"/>
              <w:bottom w:type="dxa" w:w="0"/>
              <w:right w:type="dxa" w:w="105"/>
            </w:tcMar>
            <w:vAlign w:val="top"/>
          </w:tcPr>
          <w:p>
            <w:pPr>
              <w:pStyle w:val="null3"/>
              <w:jc w:val="center"/>
            </w:pPr>
            <w:r>
              <w:rPr>
                <w:rFonts w:ascii="宋体" w:hAnsi="宋体" w:cs="宋体" w:eastAsia="宋体"/>
                <w:sz w:val="20"/>
                <w:b/>
              </w:rPr>
              <w:t>数量</w:t>
            </w:r>
          </w:p>
        </w:tc>
        <w:tc>
          <w:tcPr>
            <w:tcW w:type="dxa" w:w="1450"/>
            <w:vMerge w:val="restart"/>
            <w:tcBorders>
              <w:top w:val="single" w:color="000000" w:sz="4"/>
              <w:left w:val="none" w:color="000000" w:sz="4"/>
              <w:bottom w:val="single" w:color="000000" w:sz="4"/>
              <w:right w:val="single" w:color="000000" w:sz="4"/>
            </w:tcBorders>
            <w:shd w:fill="FBFBFB"/>
            <w:tcMar>
              <w:top w:type="dxa" w:w="0"/>
              <w:left w:type="dxa" w:w="105"/>
              <w:bottom w:type="dxa" w:w="0"/>
              <w:right w:type="dxa" w:w="105"/>
            </w:tcMar>
            <w:vAlign w:val="top"/>
          </w:tcPr>
          <w:p>
            <w:pPr>
              <w:pStyle w:val="null3"/>
              <w:jc w:val="center"/>
            </w:pPr>
            <w:r>
              <w:rPr>
                <w:rFonts w:ascii="宋体" w:hAnsi="宋体" w:cs="宋体" w:eastAsia="宋体"/>
                <w:sz w:val="20"/>
                <w:b/>
              </w:rPr>
              <w:t>限制指导单价</w:t>
            </w:r>
          </w:p>
          <w:p>
            <w:pPr>
              <w:pStyle w:val="null3"/>
              <w:jc w:val="center"/>
            </w:pPr>
            <w:r>
              <w:rPr>
                <w:rFonts w:ascii="宋体" w:hAnsi="宋体" w:cs="宋体" w:eastAsia="宋体"/>
                <w:sz w:val="20"/>
                <w:b/>
              </w:rPr>
              <w:t>(元/年）</w:t>
            </w:r>
          </w:p>
        </w:tc>
        <w:tc>
          <w:tcPr>
            <w:tcW w:type="dxa" w:w="1520"/>
            <w:vMerge w:val="restart"/>
            <w:tcBorders>
              <w:top w:val="singl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b/>
              </w:rPr>
              <w:t>最高限制</w:t>
            </w:r>
          </w:p>
          <w:p>
            <w:pPr>
              <w:pStyle w:val="null3"/>
              <w:jc w:val="center"/>
            </w:pPr>
            <w:r>
              <w:rPr>
                <w:rFonts w:ascii="宋体" w:hAnsi="宋体" w:cs="宋体" w:eastAsia="宋体"/>
                <w:sz w:val="20"/>
                <w:b/>
              </w:rPr>
              <w:t>总价</w:t>
            </w:r>
          </w:p>
          <w:p>
            <w:pPr>
              <w:pStyle w:val="null3"/>
              <w:jc w:val="center"/>
            </w:pPr>
            <w:r>
              <w:rPr>
                <w:rFonts w:ascii="宋体" w:hAnsi="宋体" w:cs="宋体" w:eastAsia="宋体"/>
                <w:sz w:val="20"/>
                <w:b/>
              </w:rPr>
              <w:t>（万元/</w:t>
            </w:r>
            <w:r>
              <w:rPr>
                <w:rFonts w:ascii="宋体" w:hAnsi="宋体" w:cs="宋体" w:eastAsia="宋体"/>
                <w:sz w:val="20"/>
                <w:b/>
              </w:rPr>
              <w:t>3</w:t>
            </w:r>
            <w:r>
              <w:rPr>
                <w:rFonts w:ascii="宋体" w:hAnsi="宋体" w:cs="宋体" w:eastAsia="宋体"/>
                <w:sz w:val="20"/>
                <w:b/>
              </w:rPr>
              <w:t>年）</w:t>
            </w:r>
          </w:p>
        </w:tc>
      </w:tr>
      <w:tr>
        <w:tc>
          <w:tcPr>
            <w:tcW w:type="dxa" w:w="844"/>
            <w:vMerge/>
            <w:tcBorders>
              <w:top w:val="single" w:color="000000" w:sz="4"/>
              <w:left w:val="single" w:color="000000" w:sz="4"/>
              <w:bottom w:val="single" w:color="000000" w:sz="4"/>
              <w:right w:val="single" w:color="000000" w:sz="4"/>
            </w:tcBorders>
          </w:tcPr>
          <w:p/>
        </w:tc>
        <w:tc>
          <w:tcPr>
            <w:tcW w:type="dxa" w:w="1647"/>
            <w:vMerge/>
            <w:tcBorders>
              <w:top w:val="single" w:color="000000" w:sz="4"/>
              <w:left w:val="none" w:color="000000" w:sz="4"/>
              <w:bottom w:val="single" w:color="000000" w:sz="4"/>
              <w:right w:val="single" w:color="000000" w:sz="4"/>
            </w:tcBorders>
          </w:tcPr>
          <w:p/>
        </w:tc>
        <w:tc>
          <w:tcPr>
            <w:tcW w:type="dxa" w:w="2731"/>
            <w:vMerge/>
            <w:tcBorders>
              <w:top w:val="single" w:color="000000" w:sz="4"/>
              <w:left w:val="none" w:color="000000" w:sz="4"/>
              <w:bottom w:val="single" w:color="000000" w:sz="4"/>
              <w:right w:val="single" w:color="000000" w:sz="4"/>
            </w:tcBorders>
          </w:tcPr>
          <w:p/>
        </w:tc>
        <w:tc>
          <w:tcPr>
            <w:tcW w:type="dxa" w:w="985"/>
            <w:vMerge/>
            <w:tcBorders>
              <w:top w:val="single" w:color="000000" w:sz="4"/>
              <w:left w:val="none" w:color="000000" w:sz="4"/>
              <w:bottom w:val="single" w:color="000000" w:sz="4"/>
              <w:right w:val="single" w:color="000000" w:sz="4"/>
            </w:tcBorders>
          </w:tcPr>
          <w:p/>
        </w:tc>
        <w:tc>
          <w:tcPr>
            <w:tcW w:type="dxa" w:w="1168"/>
            <w:vMerge/>
            <w:tcBorders>
              <w:top w:val="single" w:color="000000" w:sz="4"/>
              <w:left w:val="none" w:color="000000" w:sz="4"/>
              <w:bottom w:val="single" w:color="000000" w:sz="4"/>
              <w:right w:val="single" w:color="000000" w:sz="4"/>
            </w:tcBorders>
          </w:tcPr>
          <w:p/>
        </w:tc>
        <w:tc>
          <w:tcPr>
            <w:tcW w:type="dxa" w:w="1450"/>
            <w:vMerge/>
            <w:tcBorders>
              <w:top w:val="single" w:color="000000" w:sz="4"/>
              <w:left w:val="none" w:color="000000" w:sz="4"/>
              <w:bottom w:val="single" w:color="000000" w:sz="4"/>
              <w:right w:val="single" w:color="000000" w:sz="4"/>
            </w:tcBorders>
          </w:tcPr>
          <w:p/>
        </w:tc>
        <w:tc>
          <w:tcPr>
            <w:tcW w:type="dxa" w:w="1520"/>
            <w:vMerge/>
            <w:tcBorders>
              <w:top w:val="singl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w:t>
            </w:r>
          </w:p>
        </w:tc>
        <w:tc>
          <w:tcPr>
            <w:tcW w:type="dxa" w:w="1647"/>
            <w:vMerge w:val="restart"/>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云主机</w:t>
            </w: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VCPU</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核</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1232</w:t>
            </w:r>
          </w:p>
        </w:tc>
        <w:tc>
          <w:tcPr>
            <w:tcW w:type="dxa" w:w="1450"/>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304.08</w:t>
            </w:r>
          </w:p>
        </w:tc>
        <w:tc>
          <w:tcPr>
            <w:tcW w:type="dxa" w:w="1520"/>
            <w:vMerge w:val="restart"/>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900</w:t>
            </w: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2</w:t>
            </w:r>
          </w:p>
        </w:tc>
        <w:tc>
          <w:tcPr>
            <w:tcW w:type="dxa" w:w="1647"/>
            <w:vMerge/>
            <w:tcBorders>
              <w:top w:val="none" w:color="000000" w:sz="4"/>
              <w:left w:val="none" w:color="000000" w:sz="4"/>
              <w:bottom w:val="single" w:color="000000" w:sz="4"/>
              <w:right w:val="single" w:color="000000" w:sz="4"/>
            </w:tcBorders>
          </w:tcP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内存</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GB</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2348</w:t>
            </w:r>
          </w:p>
        </w:tc>
        <w:tc>
          <w:tcPr>
            <w:tcW w:type="dxa" w:w="1450"/>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434.4</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3</w:t>
            </w:r>
          </w:p>
        </w:tc>
        <w:tc>
          <w:tcPr>
            <w:tcW w:type="dxa" w:w="1647"/>
            <w:vMerge/>
            <w:tcBorders>
              <w:top w:val="none" w:color="000000" w:sz="4"/>
              <w:left w:val="none" w:color="000000" w:sz="4"/>
              <w:bottom w:val="single" w:color="000000" w:sz="4"/>
              <w:right w:val="single" w:color="000000" w:sz="4"/>
            </w:tcBorders>
          </w:tcP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硬盘</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100GB</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536.82</w:t>
            </w:r>
          </w:p>
        </w:tc>
        <w:tc>
          <w:tcPr>
            <w:tcW w:type="dxa" w:w="1450"/>
            <w:tcBorders>
              <w:top w:val="none" w:color="000000" w:sz="4"/>
              <w:left w:val="none" w:color="000000" w:sz="4"/>
              <w:bottom w:val="single" w:color="000000" w:sz="4"/>
              <w:right w:val="single" w:color="000000" w:sz="4"/>
            </w:tcBorders>
            <w:shd w:fill="FEFEFE"/>
            <w:tcMar>
              <w:top w:type="dxa" w:w="0"/>
              <w:left w:type="dxa" w:w="105"/>
              <w:bottom w:type="dxa" w:w="0"/>
              <w:right w:type="dxa" w:w="105"/>
            </w:tcMar>
            <w:vAlign w:val="top"/>
          </w:tcPr>
          <w:p>
            <w:pPr>
              <w:pStyle w:val="null3"/>
              <w:jc w:val="center"/>
            </w:pPr>
            <w:r>
              <w:rPr>
                <w:rFonts w:ascii="宋体" w:hAnsi="宋体" w:cs="宋体" w:eastAsia="宋体"/>
                <w:sz w:val="20"/>
              </w:rPr>
              <w:t>521.28</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4</w:t>
            </w:r>
          </w:p>
        </w:tc>
        <w:tc>
          <w:tcPr>
            <w:tcW w:type="dxa" w:w="1647"/>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云存储</w:t>
            </w: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硬盘</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100GB</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831.42</w:t>
            </w:r>
          </w:p>
        </w:tc>
        <w:tc>
          <w:tcPr>
            <w:tcW w:type="dxa" w:w="1450"/>
            <w:tcBorders>
              <w:top w:val="none" w:color="000000" w:sz="4"/>
              <w:left w:val="none" w:color="000000" w:sz="4"/>
              <w:bottom w:val="single" w:color="000000" w:sz="4"/>
              <w:right w:val="single" w:color="000000" w:sz="4"/>
            </w:tcBorders>
            <w:shd w:fill="FEFEFE"/>
            <w:tcMar>
              <w:top w:type="dxa" w:w="0"/>
              <w:left w:type="dxa" w:w="105"/>
              <w:bottom w:type="dxa" w:w="0"/>
              <w:right w:type="dxa" w:w="105"/>
            </w:tcMar>
            <w:vAlign w:val="top"/>
          </w:tcPr>
          <w:p>
            <w:pPr>
              <w:pStyle w:val="null3"/>
              <w:jc w:val="center"/>
            </w:pPr>
            <w:r>
              <w:rPr>
                <w:rFonts w:ascii="宋体" w:hAnsi="宋体" w:cs="宋体" w:eastAsia="宋体"/>
                <w:sz w:val="20"/>
              </w:rPr>
              <w:t>380.4</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5</w:t>
            </w:r>
          </w:p>
        </w:tc>
        <w:tc>
          <w:tcPr>
            <w:tcW w:type="dxa" w:w="1647"/>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基础软件</w:t>
            </w: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操作系统</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套</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158</w:t>
            </w:r>
          </w:p>
        </w:tc>
        <w:tc>
          <w:tcPr>
            <w:tcW w:type="dxa" w:w="1450"/>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391.2</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6</w:t>
            </w:r>
          </w:p>
        </w:tc>
        <w:tc>
          <w:tcPr>
            <w:tcW w:type="dxa" w:w="1647"/>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云负载均衡</w:t>
            </w: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实例</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个</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96</w:t>
            </w:r>
          </w:p>
        </w:tc>
        <w:tc>
          <w:tcPr>
            <w:tcW w:type="dxa" w:w="1450"/>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396</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7</w:t>
            </w:r>
          </w:p>
        </w:tc>
        <w:tc>
          <w:tcPr>
            <w:tcW w:type="dxa" w:w="1647"/>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ORACLE数据库集群服务</w:t>
            </w:r>
          </w:p>
        </w:tc>
        <w:tc>
          <w:tcPr>
            <w:tcW w:type="dxa" w:w="2731"/>
            <w:tcBorders>
              <w:top w:val="none" w:color="000000" w:sz="4"/>
              <w:left w:val="none" w:color="000000" w:sz="4"/>
              <w:bottom w:val="single" w:color="000000" w:sz="4"/>
              <w:right w:val="single" w:color="000000" w:sz="4"/>
            </w:tcBorders>
            <w:shd w:fill="FEFEFE"/>
            <w:tcMar>
              <w:top w:type="dxa" w:w="0"/>
              <w:left w:type="dxa" w:w="105"/>
              <w:bottom w:type="dxa" w:w="0"/>
              <w:right w:type="dxa" w:w="105"/>
            </w:tcMar>
            <w:vAlign w:val="top"/>
          </w:tcPr>
          <w:p>
            <w:pPr>
              <w:pStyle w:val="null3"/>
              <w:jc w:val="center"/>
            </w:pPr>
            <w:r>
              <w:rPr>
                <w:rFonts w:ascii="宋体" w:hAnsi="宋体" w:cs="宋体" w:eastAsia="宋体"/>
                <w:sz w:val="20"/>
              </w:rPr>
              <w:t>实例</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个</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18</w:t>
            </w:r>
          </w:p>
        </w:tc>
        <w:tc>
          <w:tcPr>
            <w:tcW w:type="dxa" w:w="1450"/>
            <w:tcBorders>
              <w:top w:val="none" w:color="000000" w:sz="4"/>
              <w:left w:val="none" w:color="000000" w:sz="4"/>
              <w:bottom w:val="single" w:color="000000" w:sz="4"/>
              <w:right w:val="single" w:color="000000" w:sz="4"/>
            </w:tcBorders>
            <w:shd w:fill="FEFEFE"/>
            <w:tcMar>
              <w:top w:type="dxa" w:w="0"/>
              <w:left w:type="dxa" w:w="105"/>
              <w:bottom w:type="dxa" w:w="0"/>
              <w:right w:type="dxa" w:w="105"/>
            </w:tcMar>
            <w:vAlign w:val="top"/>
          </w:tcPr>
          <w:p>
            <w:pPr>
              <w:pStyle w:val="null3"/>
              <w:jc w:val="center"/>
            </w:pPr>
            <w:r>
              <w:rPr>
                <w:rFonts w:ascii="宋体" w:hAnsi="宋体" w:cs="宋体" w:eastAsia="宋体"/>
                <w:sz w:val="20"/>
              </w:rPr>
              <w:t>27150</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E"/>
            <w:tcMar>
              <w:top w:type="dxa" w:w="0"/>
              <w:left w:type="dxa" w:w="105"/>
              <w:bottom w:type="dxa" w:w="0"/>
              <w:right w:type="dxa" w:w="105"/>
            </w:tcMar>
            <w:vAlign w:val="top"/>
          </w:tcPr>
          <w:p>
            <w:pPr>
              <w:pStyle w:val="null3"/>
              <w:jc w:val="center"/>
            </w:pPr>
            <w:r>
              <w:rPr>
                <w:rFonts w:ascii="宋体" w:hAnsi="宋体" w:cs="宋体" w:eastAsia="宋体"/>
                <w:sz w:val="20"/>
              </w:rPr>
              <w:t>8</w:t>
            </w:r>
          </w:p>
        </w:tc>
        <w:tc>
          <w:tcPr>
            <w:tcW w:type="dxa" w:w="16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0"/>
              </w:rPr>
              <w:t>物理机租用</w:t>
            </w:r>
          </w:p>
        </w:tc>
        <w:tc>
          <w:tcPr>
            <w:tcW w:type="dxa" w:w="2731"/>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2路12核；96G内</w:t>
            </w:r>
            <w:r>
              <w:br/>
            </w:r>
            <w:r>
              <w:rPr>
                <w:rFonts w:ascii="宋体" w:hAnsi="宋体" w:cs="宋体" w:eastAsia="宋体"/>
                <w:sz w:val="20"/>
              </w:rPr>
              <w:t>存；20TB硬盘；2*千兆网卡</w:t>
            </w:r>
          </w:p>
        </w:tc>
        <w:tc>
          <w:tcPr>
            <w:tcW w:type="dxa" w:w="985"/>
            <w:tcBorders>
              <w:top w:val="none" w:color="000000" w:sz="4"/>
              <w:left w:val="none" w:color="000000" w:sz="4"/>
              <w:bottom w:val="single" w:color="000000" w:sz="4"/>
              <w:right w:val="single" w:color="000000" w:sz="4"/>
            </w:tcBorders>
            <w:shd w:fill="FCFCFC"/>
            <w:tcMar>
              <w:top w:type="dxa" w:w="0"/>
              <w:left w:type="dxa" w:w="105"/>
              <w:bottom w:type="dxa" w:w="0"/>
              <w:right w:type="dxa" w:w="105"/>
            </w:tcMar>
            <w:vAlign w:val="top"/>
          </w:tcPr>
          <w:p>
            <w:pPr>
              <w:pStyle w:val="null3"/>
              <w:jc w:val="center"/>
            </w:pPr>
            <w:r>
              <w:rPr>
                <w:rFonts w:ascii="宋体" w:hAnsi="宋体" w:cs="宋体" w:eastAsia="宋体"/>
                <w:sz w:val="20"/>
              </w:rPr>
              <w:t>台</w:t>
            </w:r>
          </w:p>
        </w:tc>
        <w:tc>
          <w:tcPr>
            <w:tcW w:type="dxa" w:w="1168"/>
            <w:tcBorders>
              <w:top w:val="none" w:color="000000" w:sz="4"/>
              <w:left w:val="none" w:color="000000" w:sz="4"/>
              <w:bottom w:val="single" w:color="000000" w:sz="4"/>
              <w:right w:val="single" w:color="000000" w:sz="4"/>
            </w:tcBorders>
            <w:shd w:fill="FCFCFC"/>
            <w:tcMar>
              <w:top w:type="dxa" w:w="0"/>
              <w:left w:type="dxa" w:w="105"/>
              <w:bottom w:type="dxa" w:w="0"/>
              <w:right w:type="dxa" w:w="105"/>
            </w:tcMar>
            <w:vAlign w:val="top"/>
          </w:tcPr>
          <w:p>
            <w:pPr>
              <w:pStyle w:val="null3"/>
              <w:jc w:val="center"/>
            </w:pPr>
            <w:r>
              <w:rPr>
                <w:rFonts w:ascii="宋体" w:hAnsi="宋体" w:cs="宋体" w:eastAsia="宋体"/>
                <w:sz w:val="20"/>
              </w:rPr>
              <w:t>3</w:t>
            </w:r>
          </w:p>
        </w:tc>
        <w:tc>
          <w:tcPr>
            <w:tcW w:type="dxa" w:w="1450"/>
            <w:tcBorders>
              <w:top w:val="none" w:color="000000" w:sz="4"/>
              <w:left w:val="none" w:color="000000" w:sz="4"/>
              <w:bottom w:val="single" w:color="000000" w:sz="4"/>
              <w:right w:val="single" w:color="000000" w:sz="4"/>
            </w:tcBorders>
            <w:shd w:fill="FCFCFC"/>
            <w:tcMar>
              <w:top w:type="dxa" w:w="0"/>
              <w:left w:type="dxa" w:w="105"/>
              <w:bottom w:type="dxa" w:w="0"/>
              <w:right w:type="dxa" w:w="105"/>
            </w:tcMar>
            <w:vAlign w:val="top"/>
          </w:tcPr>
          <w:p>
            <w:pPr>
              <w:pStyle w:val="null3"/>
              <w:jc w:val="center"/>
            </w:pPr>
            <w:r>
              <w:rPr>
                <w:rFonts w:ascii="宋体" w:hAnsi="宋体" w:cs="宋体" w:eastAsia="宋体"/>
                <w:sz w:val="20"/>
              </w:rPr>
              <w:t>47692.8</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E"/>
            <w:tcMar>
              <w:top w:type="dxa" w:w="0"/>
              <w:left w:type="dxa" w:w="105"/>
              <w:bottom w:type="dxa" w:w="0"/>
              <w:right w:type="dxa" w:w="105"/>
            </w:tcMar>
            <w:vAlign w:val="top"/>
          </w:tcPr>
          <w:p>
            <w:pPr>
              <w:pStyle w:val="null3"/>
              <w:jc w:val="center"/>
            </w:pPr>
            <w:r>
              <w:rPr>
                <w:rFonts w:ascii="宋体" w:hAnsi="宋体" w:cs="宋体" w:eastAsia="宋体"/>
                <w:sz w:val="20"/>
              </w:rPr>
              <w:t>9</w:t>
            </w:r>
          </w:p>
        </w:tc>
        <w:tc>
          <w:tcPr>
            <w:tcW w:type="dxa" w:w="1647"/>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云备份服务</w:t>
            </w:r>
          </w:p>
        </w:tc>
        <w:tc>
          <w:tcPr>
            <w:tcW w:type="dxa" w:w="2731"/>
            <w:tcBorders>
              <w:top w:val="none" w:color="000000" w:sz="4"/>
              <w:left w:val="none" w:color="000000" w:sz="4"/>
              <w:bottom w:val="single" w:color="000000" w:sz="4"/>
              <w:right w:val="single" w:color="000000" w:sz="4"/>
            </w:tcBorders>
            <w:shd w:fill="FBFBFB"/>
            <w:tcMar>
              <w:top w:type="dxa" w:w="0"/>
              <w:left w:type="dxa" w:w="105"/>
              <w:bottom w:type="dxa" w:w="0"/>
              <w:right w:type="dxa" w:w="105"/>
            </w:tcMar>
            <w:vAlign w:val="top"/>
          </w:tcPr>
          <w:p>
            <w:pPr>
              <w:pStyle w:val="null3"/>
              <w:jc w:val="center"/>
            </w:pPr>
            <w:r>
              <w:rPr>
                <w:rFonts w:ascii="宋体" w:hAnsi="宋体" w:cs="宋体" w:eastAsia="宋体"/>
                <w:sz w:val="20"/>
              </w:rPr>
              <w:t>数据库实例</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个</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18</w:t>
            </w:r>
          </w:p>
        </w:tc>
        <w:tc>
          <w:tcPr>
            <w:tcW w:type="dxa" w:w="1450"/>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10181.28</w:t>
            </w:r>
          </w:p>
        </w:tc>
        <w:tc>
          <w:tcPr>
            <w:tcW w:type="dxa" w:w="1520"/>
            <w:vMerge/>
            <w:tcBorders>
              <w:top w:val="none" w:color="000000" w:sz="4"/>
              <w:left w:val="none" w:color="000000" w:sz="4"/>
              <w:bottom w:val="single" w:color="000000" w:sz="4"/>
              <w:right w:val="single" w:color="000000" w:sz="4"/>
            </w:tcBorders>
          </w:tcPr>
          <w:p/>
        </w:tc>
      </w:tr>
      <w:tr>
        <w:tc>
          <w:tcPr>
            <w:tcW w:type="dxa" w:w="844"/>
            <w:tcBorders>
              <w:top w:val="none" w:color="000000" w:sz="4"/>
              <w:left w:val="singl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w:t>
            </w:r>
            <w:r>
              <w:rPr>
                <w:rFonts w:ascii="宋体" w:hAnsi="宋体" w:cs="宋体" w:eastAsia="宋体"/>
                <w:sz w:val="20"/>
              </w:rPr>
              <w:t>0</w:t>
            </w:r>
          </w:p>
        </w:tc>
        <w:tc>
          <w:tcPr>
            <w:tcW w:type="dxa" w:w="1647"/>
            <w:tcBorders>
              <w:top w:val="none" w:color="000000" w:sz="4"/>
              <w:left w:val="none" w:color="000000" w:sz="4"/>
              <w:bottom w:val="single" w:color="000000" w:sz="4"/>
              <w:right w:val="single" w:color="000000" w:sz="4"/>
            </w:tcBorders>
            <w:shd w:fill="FEFEFE"/>
            <w:tcMar>
              <w:top w:type="dxa" w:w="0"/>
              <w:left w:type="dxa" w:w="105"/>
              <w:bottom w:type="dxa" w:w="0"/>
              <w:right w:type="dxa" w:w="105"/>
            </w:tcMar>
            <w:vAlign w:val="top"/>
          </w:tcPr>
          <w:p>
            <w:pPr>
              <w:pStyle w:val="null3"/>
              <w:jc w:val="center"/>
            </w:pPr>
            <w:r>
              <w:rPr>
                <w:rFonts w:ascii="宋体" w:hAnsi="宋体" w:cs="宋体" w:eastAsia="宋体"/>
                <w:sz w:val="20"/>
              </w:rPr>
              <w:t>云资源管理服务</w:t>
            </w:r>
          </w:p>
        </w:tc>
        <w:tc>
          <w:tcPr>
            <w:tcW w:type="dxa" w:w="2731"/>
            <w:tcBorders>
              <w:top w:val="none" w:color="000000" w:sz="4"/>
              <w:left w:val="none" w:color="000000" w:sz="4"/>
              <w:bottom w:val="single" w:color="000000" w:sz="4"/>
              <w:right w:val="single" w:color="000000" w:sz="4"/>
            </w:tcBorders>
            <w:shd w:fill="FBFBFB"/>
            <w:tcMar>
              <w:top w:type="dxa" w:w="0"/>
              <w:left w:type="dxa" w:w="105"/>
              <w:bottom w:type="dxa" w:w="0"/>
              <w:right w:type="dxa" w:w="105"/>
            </w:tcMar>
            <w:vAlign w:val="top"/>
          </w:tcPr>
          <w:p>
            <w:pPr>
              <w:pStyle w:val="null3"/>
              <w:jc w:val="left"/>
            </w:pPr>
            <w:r>
              <w:rPr>
                <w:rFonts w:ascii="宋体" w:hAnsi="宋体" w:cs="宋体" w:eastAsia="宋体"/>
                <w:sz w:val="20"/>
              </w:rPr>
              <w:t>配备</w:t>
            </w:r>
            <w:r>
              <w:rPr>
                <w:rFonts w:ascii="calibri" w:hAnsi="calibri" w:cs="calibri" w:eastAsia="calibri"/>
                <w:sz w:val="20"/>
              </w:rPr>
              <w:t>1</w:t>
            </w:r>
            <w:r>
              <w:rPr>
                <w:rFonts w:ascii="宋体" w:hAnsi="宋体" w:cs="宋体" w:eastAsia="宋体"/>
                <w:sz w:val="20"/>
              </w:rPr>
              <w:t>名运维人员驻点</w:t>
            </w:r>
            <w:r>
              <w:rPr>
                <w:rFonts w:ascii="宋体" w:hAnsi="宋体" w:cs="宋体" w:eastAsia="宋体"/>
                <w:sz w:val="20"/>
              </w:rPr>
              <w:t>福建省交通信息通信与应急处置中心</w:t>
            </w:r>
            <w:r>
              <w:rPr>
                <w:rFonts w:ascii="宋体" w:hAnsi="宋体" w:cs="宋体" w:eastAsia="宋体"/>
                <w:sz w:val="20"/>
              </w:rPr>
              <w:t>，</w:t>
            </w:r>
            <w:r>
              <w:rPr>
                <w:rFonts w:ascii="宋体" w:hAnsi="宋体" w:cs="宋体" w:eastAsia="宋体"/>
                <w:sz w:val="20"/>
              </w:rPr>
              <w:t>云资源线上申请、扩缩容、回收，项目云资源使用方案初审，云资源交付，云资源验收等管理工作，并应对省直单位电子政务绩效考核通报、扣分事项</w:t>
            </w:r>
            <w:r>
              <w:rPr>
                <w:rFonts w:ascii="宋体" w:hAnsi="宋体" w:cs="宋体" w:eastAsia="宋体"/>
                <w:sz w:val="20"/>
              </w:rPr>
              <w:t>。</w:t>
            </w:r>
          </w:p>
        </w:tc>
        <w:tc>
          <w:tcPr>
            <w:tcW w:type="dxa" w:w="985"/>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项</w:t>
            </w:r>
          </w:p>
        </w:tc>
        <w:tc>
          <w:tcPr>
            <w:tcW w:type="dxa" w:w="1168"/>
            <w:tcBorders>
              <w:top w:val="none" w:color="000000" w:sz="4"/>
              <w:left w:val="none" w:color="000000" w:sz="4"/>
              <w:bottom w:val="single" w:color="000000" w:sz="4"/>
              <w:right w:val="single" w:color="000000" w:sz="4"/>
            </w:tcBorders>
            <w:shd w:fill="FDFDFD"/>
            <w:tcMar>
              <w:top w:type="dxa" w:w="0"/>
              <w:left w:type="dxa" w:w="105"/>
              <w:bottom w:type="dxa" w:w="0"/>
              <w:right w:type="dxa" w:w="105"/>
            </w:tcMar>
            <w:vAlign w:val="top"/>
          </w:tcPr>
          <w:p>
            <w:pPr>
              <w:pStyle w:val="null3"/>
              <w:jc w:val="center"/>
            </w:pPr>
            <w:r>
              <w:rPr>
                <w:rFonts w:ascii="宋体" w:hAnsi="宋体" w:cs="宋体" w:eastAsia="宋体"/>
                <w:sz w:val="20"/>
              </w:rPr>
              <w:t>1</w:t>
            </w:r>
          </w:p>
        </w:tc>
        <w:tc>
          <w:tcPr>
            <w:tcW w:type="dxa" w:w="14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0"/>
              </w:rPr>
              <w:t>96000</w:t>
            </w:r>
          </w:p>
        </w:tc>
        <w:tc>
          <w:tcPr>
            <w:tcW w:type="dxa" w:w="15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rFonts w:ascii="宋体" w:hAnsi="宋体" w:cs="宋体" w:eastAsia="宋体"/>
          <w:sz w:val="20"/>
        </w:rPr>
        <w:t>备注：（</w:t>
      </w:r>
      <w:r>
        <w:rPr>
          <w:rFonts w:ascii="宋体" w:hAnsi="宋体" w:cs="宋体" w:eastAsia="宋体"/>
          <w:sz w:val="20"/>
        </w:rPr>
        <w:t>1</w:t>
      </w:r>
      <w:r>
        <w:rPr>
          <w:rFonts w:ascii="宋体" w:hAnsi="宋体" w:cs="宋体" w:eastAsia="宋体"/>
          <w:sz w:val="20"/>
        </w:rPr>
        <w:t>）投标人须在投标文件报价部分的《投标（响应）报价明细表》中根据以上清单进行各个细项的详细报价，报价均不得超过以上各个细项的最高限价，同时所报的最终报价总合计不得超过本项目的最高限价。</w:t>
      </w:r>
    </w:p>
    <w:p>
      <w:pPr>
        <w:pStyle w:val="null3"/>
        <w:jc w:val="both"/>
      </w:pPr>
      <w:r>
        <w:rPr>
          <w:rFonts w:ascii="宋体" w:hAnsi="宋体" w:cs="宋体" w:eastAsia="宋体"/>
          <w:sz w:val="20"/>
        </w:rPr>
        <w:t>（</w:t>
      </w:r>
      <w:r>
        <w:rPr>
          <w:rFonts w:ascii="宋体" w:hAnsi="宋体" w:cs="宋体" w:eastAsia="宋体"/>
          <w:sz w:val="20"/>
        </w:rPr>
        <w:t>2</w:t>
      </w:r>
      <w:r>
        <w:rPr>
          <w:rFonts w:ascii="宋体" w:hAnsi="宋体" w:cs="宋体" w:eastAsia="宋体"/>
          <w:sz w:val="20"/>
        </w:rPr>
        <w:t>）</w:t>
      </w:r>
      <w:r>
        <w:rPr>
          <w:rFonts w:ascii="宋体" w:hAnsi="宋体" w:cs="宋体" w:eastAsia="宋体"/>
          <w:sz w:val="20"/>
        </w:rPr>
        <w:t>投标文件的技术、商务部分中出现报价部分的全部或部分的投标报价信息（或组成资料），按无效投标处理。</w:t>
      </w:r>
    </w:p>
    <w:p>
      <w:pPr>
        <w:pStyle w:val="null3"/>
        <w:jc w:val="both"/>
      </w:pPr>
      <w:r>
        <w:rPr>
          <w:rFonts w:ascii="宋体" w:hAnsi="宋体" w:cs="宋体" w:eastAsia="宋体"/>
          <w:sz w:val="20"/>
        </w:rPr>
        <w:t>（</w:t>
      </w:r>
      <w:r>
        <w:rPr>
          <w:rFonts w:ascii="宋体" w:hAnsi="宋体" w:cs="宋体" w:eastAsia="宋体"/>
          <w:sz w:val="20"/>
        </w:rPr>
        <w:t>3</w:t>
      </w:r>
      <w:r>
        <w:rPr>
          <w:rFonts w:ascii="宋体" w:hAnsi="宋体" w:cs="宋体" w:eastAsia="宋体"/>
          <w:sz w:val="20"/>
        </w:rPr>
        <w:t>）要求本项目中标人严格遵照《云计算服务安全评估办法》有关规定建设云平台并提供本项目相关的云计算资源服务。</w:t>
      </w:r>
    </w:p>
    <w:p>
      <w:pPr>
        <w:pStyle w:val="null3"/>
        <w:ind w:left="405"/>
        <w:jc w:val="both"/>
      </w:pPr>
      <w:r>
        <w:rPr>
          <w:rFonts w:ascii="宋体" w:hAnsi="宋体" w:cs="宋体" w:eastAsia="宋体"/>
          <w:sz w:val="20"/>
        </w:rPr>
        <w:t>▲2.云计算资源租赁服务—现状知悉度</w:t>
      </w:r>
      <w:r>
        <w:br/>
      </w:r>
      <w:r>
        <w:rPr>
          <w:rFonts w:ascii="宋体" w:hAnsi="宋体" w:cs="宋体" w:eastAsia="宋体"/>
          <w:sz w:val="20"/>
        </w:rPr>
        <w:t>知悉采购人政务云机房现状</w:t>
      </w:r>
      <w:r>
        <w:rPr>
          <w:rFonts w:ascii="宋体" w:hAnsi="宋体" w:cs="宋体" w:eastAsia="宋体"/>
          <w:sz w:val="20"/>
        </w:rPr>
        <w:t>、</w:t>
      </w:r>
      <w:r>
        <w:rPr>
          <w:rFonts w:ascii="宋体" w:hAnsi="宋体" w:cs="宋体" w:eastAsia="宋体"/>
          <w:sz w:val="20"/>
        </w:rPr>
        <w:t>政务云平台现状及</w:t>
      </w:r>
      <w:r>
        <w:rPr>
          <w:rFonts w:ascii="宋体" w:hAnsi="宋体" w:cs="宋体" w:eastAsia="宋体"/>
          <w:sz w:val="20"/>
        </w:rPr>
        <w:t>云资源专区机柜现状</w:t>
      </w:r>
      <w:r>
        <w:rPr>
          <w:rFonts w:ascii="宋体" w:hAnsi="宋体" w:cs="宋体" w:eastAsia="宋体"/>
          <w:sz w:val="20"/>
        </w:rPr>
        <w:t>。</w:t>
      </w:r>
    </w:p>
    <w:p>
      <w:pPr>
        <w:pStyle w:val="null3"/>
        <w:jc w:val="both"/>
      </w:pPr>
      <w:r>
        <w:rPr>
          <w:rFonts w:ascii="宋体" w:hAnsi="宋体" w:cs="宋体" w:eastAsia="宋体"/>
          <w:sz w:val="20"/>
        </w:rPr>
        <w:t>3.云计算资源租赁服务—-云主机资源</w:t>
      </w:r>
    </w:p>
    <w:p>
      <w:pPr>
        <w:pStyle w:val="null3"/>
        <w:ind w:firstLine="400"/>
        <w:jc w:val="both"/>
      </w:pPr>
      <w:r>
        <w:rPr>
          <w:rFonts w:ascii="宋体" w:hAnsi="宋体" w:cs="宋体" w:eastAsia="宋体"/>
          <w:sz w:val="20"/>
        </w:rPr>
        <w:t>提供</w:t>
      </w:r>
      <w:r>
        <w:rPr>
          <w:rFonts w:ascii="宋体" w:hAnsi="宋体" w:cs="宋体" w:eastAsia="宋体"/>
          <w:sz w:val="20"/>
        </w:rPr>
        <w:t>VCPU、内存、硬盘、操作系统。</w:t>
      </w:r>
    </w:p>
    <w:p>
      <w:pPr>
        <w:pStyle w:val="null3"/>
        <w:jc w:val="both"/>
      </w:pPr>
      <w:r>
        <w:rPr>
          <w:rFonts w:ascii="宋体" w:hAnsi="宋体" w:cs="宋体" w:eastAsia="宋体"/>
          <w:sz w:val="20"/>
        </w:rPr>
        <w:t>4.云计算资源租赁服务—云存储服务</w:t>
      </w:r>
    </w:p>
    <w:p>
      <w:pPr>
        <w:pStyle w:val="null3"/>
        <w:ind w:firstLine="400"/>
        <w:jc w:val="both"/>
      </w:pPr>
      <w:r>
        <w:rPr>
          <w:rFonts w:ascii="宋体" w:hAnsi="宋体" w:cs="宋体" w:eastAsia="宋体"/>
          <w:sz w:val="20"/>
        </w:rPr>
        <w:t>提供云存储备份空间。</w:t>
      </w:r>
    </w:p>
    <w:p>
      <w:pPr>
        <w:pStyle w:val="null3"/>
        <w:jc w:val="both"/>
      </w:pPr>
      <w:r>
        <w:rPr>
          <w:rFonts w:ascii="宋体" w:hAnsi="宋体" w:cs="宋体" w:eastAsia="宋体"/>
          <w:sz w:val="20"/>
        </w:rPr>
        <w:t>5.云计算资源租赁服务—物理机服务</w:t>
      </w:r>
    </w:p>
    <w:p>
      <w:pPr>
        <w:pStyle w:val="null3"/>
        <w:ind w:firstLine="400"/>
        <w:jc w:val="both"/>
      </w:pPr>
      <w:r>
        <w:rPr>
          <w:rFonts w:ascii="宋体" w:hAnsi="宋体" w:cs="宋体" w:eastAsia="宋体"/>
          <w:sz w:val="20"/>
        </w:rPr>
        <w:t>提供</w:t>
      </w:r>
      <w:r>
        <w:rPr>
          <w:rFonts w:ascii="宋体" w:hAnsi="宋体" w:cs="宋体" w:eastAsia="宋体"/>
          <w:sz w:val="20"/>
        </w:rPr>
        <w:t>3台容量型物理机租赁服务，配置不低于2*12核</w:t>
      </w:r>
      <w:r>
        <w:rPr>
          <w:rFonts w:ascii="宋体" w:hAnsi="宋体" w:cs="宋体" w:eastAsia="宋体"/>
          <w:sz w:val="20"/>
        </w:rPr>
        <w:t>，</w:t>
      </w:r>
      <w:r>
        <w:rPr>
          <w:rFonts w:ascii="宋体" w:hAnsi="宋体" w:cs="宋体" w:eastAsia="宋体"/>
          <w:sz w:val="20"/>
        </w:rPr>
        <w:t>内存：</w:t>
      </w:r>
      <w:r>
        <w:rPr>
          <w:rFonts w:ascii="宋体" w:hAnsi="宋体" w:cs="宋体" w:eastAsia="宋体"/>
          <w:sz w:val="20"/>
        </w:rPr>
        <w:t>96GB</w:t>
      </w:r>
      <w:r>
        <w:rPr>
          <w:rFonts w:ascii="宋体" w:hAnsi="宋体" w:cs="宋体" w:eastAsia="宋体"/>
          <w:sz w:val="20"/>
        </w:rPr>
        <w:t>，</w:t>
      </w:r>
      <w:r>
        <w:rPr>
          <w:rFonts w:ascii="宋体" w:hAnsi="宋体" w:cs="宋体" w:eastAsia="宋体"/>
          <w:sz w:val="20"/>
        </w:rPr>
        <w:t>网卡：</w:t>
      </w:r>
      <w:r>
        <w:rPr>
          <w:rFonts w:ascii="宋体" w:hAnsi="宋体" w:cs="宋体" w:eastAsia="宋体"/>
          <w:sz w:val="20"/>
        </w:rPr>
        <w:t>2*1Gb网卡</w:t>
      </w:r>
      <w:r>
        <w:rPr>
          <w:rFonts w:ascii="宋体" w:hAnsi="宋体" w:cs="宋体" w:eastAsia="宋体"/>
          <w:sz w:val="20"/>
        </w:rPr>
        <w:t>，</w:t>
      </w:r>
      <w:r>
        <w:rPr>
          <w:rFonts w:ascii="宋体" w:hAnsi="宋体" w:cs="宋体" w:eastAsia="宋体"/>
          <w:sz w:val="20"/>
        </w:rPr>
        <w:t>硬盘：</w:t>
      </w:r>
      <w:r>
        <w:rPr>
          <w:rFonts w:ascii="宋体" w:hAnsi="宋体" w:cs="宋体" w:eastAsia="宋体"/>
          <w:sz w:val="20"/>
        </w:rPr>
        <w:t>20T。</w:t>
      </w:r>
    </w:p>
    <w:p>
      <w:pPr>
        <w:pStyle w:val="null3"/>
        <w:jc w:val="both"/>
      </w:pPr>
      <w:r>
        <w:rPr>
          <w:rFonts w:ascii="宋体" w:hAnsi="宋体" w:cs="宋体" w:eastAsia="宋体"/>
          <w:sz w:val="20"/>
        </w:rPr>
        <w:t>6.云计算资源租赁服务—数据库集群服务</w:t>
      </w:r>
    </w:p>
    <w:p>
      <w:pPr>
        <w:pStyle w:val="null3"/>
        <w:ind w:firstLine="400"/>
        <w:jc w:val="both"/>
      </w:pPr>
      <w:r>
        <w:rPr>
          <w:rFonts w:ascii="宋体" w:hAnsi="宋体" w:cs="宋体" w:eastAsia="宋体"/>
          <w:sz w:val="20"/>
        </w:rPr>
        <w:t>提供</w:t>
      </w:r>
      <w:r>
        <w:rPr>
          <w:rFonts w:ascii="宋体" w:hAnsi="宋体" w:cs="宋体" w:eastAsia="宋体"/>
          <w:sz w:val="20"/>
        </w:rPr>
        <w:t>Oracle数据库集群实例服务。</w:t>
      </w:r>
    </w:p>
    <w:p>
      <w:pPr>
        <w:pStyle w:val="null3"/>
        <w:jc w:val="both"/>
      </w:pPr>
      <w:r>
        <w:rPr>
          <w:rFonts w:ascii="宋体" w:hAnsi="宋体" w:cs="宋体" w:eastAsia="宋体"/>
          <w:sz w:val="20"/>
        </w:rPr>
        <w:t>7.云计算资源租赁服务—云负载均衡</w:t>
      </w:r>
    </w:p>
    <w:p>
      <w:pPr>
        <w:pStyle w:val="null3"/>
        <w:ind w:firstLine="400"/>
        <w:jc w:val="both"/>
      </w:pPr>
      <w:r>
        <w:rPr>
          <w:rFonts w:ascii="宋体" w:hAnsi="宋体" w:cs="宋体" w:eastAsia="宋体"/>
          <w:sz w:val="20"/>
        </w:rPr>
        <w:t>提供基于硬件的应用负载均衡服务，可实现多台云服务器或物理服务器负载均衡。</w:t>
      </w:r>
    </w:p>
    <w:p>
      <w:pPr>
        <w:pStyle w:val="null3"/>
        <w:jc w:val="both"/>
      </w:pPr>
      <w:r>
        <w:rPr>
          <w:rFonts w:ascii="宋体" w:hAnsi="宋体" w:cs="宋体" w:eastAsia="宋体"/>
          <w:sz w:val="20"/>
        </w:rPr>
        <w:t>8</w:t>
      </w:r>
      <w:r>
        <w:rPr>
          <w:rFonts w:ascii="宋体" w:hAnsi="宋体" w:cs="宋体" w:eastAsia="宋体"/>
          <w:sz w:val="20"/>
        </w:rPr>
        <w:t>.云平台基础保障能力要求—配合业务系统网络安全等级保护需求</w:t>
      </w:r>
    </w:p>
    <w:p>
      <w:pPr>
        <w:pStyle w:val="null3"/>
        <w:ind w:firstLine="420"/>
        <w:jc w:val="both"/>
      </w:pPr>
      <w:r>
        <w:rPr>
          <w:rFonts w:ascii="宋体" w:hAnsi="宋体" w:cs="宋体" w:eastAsia="宋体"/>
          <w:sz w:val="20"/>
        </w:rPr>
        <w:t>提供业务应用系统的支撑环境，包括但不限于服务器、网络、存储及安全设备，并积极配合采购人根据业务系统具体等保需求，开展云平台相应等保评估、检查、整改等工作。</w:t>
      </w:r>
    </w:p>
    <w:p>
      <w:pPr>
        <w:pStyle w:val="null3"/>
        <w:jc w:val="both"/>
      </w:pPr>
      <w:r>
        <w:rPr>
          <w:rFonts w:ascii="宋体" w:hAnsi="宋体" w:cs="宋体" w:eastAsia="宋体"/>
          <w:sz w:val="20"/>
          <w:b/>
        </w:rPr>
        <w:t xml:space="preserve">▲ </w:t>
      </w:r>
      <w:r>
        <w:rPr>
          <w:rFonts w:ascii="宋体" w:hAnsi="宋体" w:cs="宋体" w:eastAsia="宋体"/>
          <w:sz w:val="20"/>
        </w:rPr>
        <w:t>9</w:t>
      </w:r>
      <w:r>
        <w:rPr>
          <w:rFonts w:ascii="宋体" w:hAnsi="宋体" w:cs="宋体" w:eastAsia="宋体"/>
          <w:sz w:val="20"/>
        </w:rPr>
        <w:t>.云平台安全保障能力要求—云平台网络安全保护等级</w:t>
      </w:r>
    </w:p>
    <w:p>
      <w:pPr>
        <w:pStyle w:val="null3"/>
        <w:ind w:firstLine="400"/>
        <w:jc w:val="left"/>
      </w:pPr>
      <w:r>
        <w:rPr>
          <w:rFonts w:ascii="宋体" w:hAnsi="宋体" w:cs="宋体" w:eastAsia="宋体"/>
          <w:sz w:val="20"/>
        </w:rPr>
        <w:t>投标人提供服务的政务云平台具备国家网络安全等级保护</w:t>
      </w:r>
      <w:r>
        <w:rPr>
          <w:rFonts w:ascii="宋体" w:hAnsi="宋体" w:cs="宋体" w:eastAsia="宋体"/>
          <w:sz w:val="20"/>
        </w:rPr>
        <w:t>2.0三级（含以上）等级。</w:t>
      </w:r>
    </w:p>
    <w:p>
      <w:pPr>
        <w:pStyle w:val="null3"/>
        <w:jc w:val="both"/>
      </w:pPr>
      <w:r>
        <w:rPr>
          <w:rFonts w:ascii="宋体" w:hAnsi="宋体" w:cs="宋体" w:eastAsia="宋体"/>
          <w:sz w:val="20"/>
        </w:rPr>
        <w:t>10</w:t>
      </w:r>
      <w:r>
        <w:rPr>
          <w:rFonts w:ascii="宋体" w:hAnsi="宋体" w:cs="宋体" w:eastAsia="宋体"/>
          <w:sz w:val="20"/>
        </w:rPr>
        <w:t>.云平台基础保障能力要求—云平台基础安全保障</w:t>
      </w:r>
    </w:p>
    <w:p>
      <w:pPr>
        <w:pStyle w:val="null3"/>
        <w:ind w:firstLine="420"/>
        <w:jc w:val="left"/>
      </w:pPr>
      <w:r>
        <w:rPr>
          <w:rFonts w:ascii="宋体" w:hAnsi="宋体" w:cs="宋体" w:eastAsia="宋体"/>
          <w:sz w:val="20"/>
        </w:rPr>
        <w:t>依据《福建省发展和改革委员会关于明确福建省级政务信息系统网络安全管理职责分工的通知（闽发改数字函</w:t>
      </w:r>
      <w:r>
        <w:rPr>
          <w:rFonts w:ascii="宋体" w:hAnsi="宋体" w:cs="宋体" w:eastAsia="宋体"/>
          <w:sz w:val="20"/>
        </w:rPr>
        <w:t>[2022]375号）》，提供基础设施的安全管理，主要包括云平台的网络安全、主机系统安全和数据库安全。</w:t>
      </w:r>
    </w:p>
    <w:p>
      <w:pPr>
        <w:pStyle w:val="null3"/>
        <w:jc w:val="both"/>
      </w:pPr>
      <w:r>
        <w:rPr>
          <w:rFonts w:ascii="宋体" w:hAnsi="宋体" w:cs="宋体" w:eastAsia="宋体"/>
          <w:sz w:val="20"/>
        </w:rPr>
        <w:t>▲</w:t>
      </w:r>
      <w:r>
        <w:rPr>
          <w:rFonts w:ascii="宋体" w:hAnsi="宋体" w:cs="宋体" w:eastAsia="宋体"/>
          <w:sz w:val="20"/>
        </w:rPr>
        <w:t>11</w:t>
      </w:r>
      <w:r>
        <w:rPr>
          <w:rFonts w:ascii="宋体" w:hAnsi="宋体" w:cs="宋体" w:eastAsia="宋体"/>
          <w:sz w:val="20"/>
        </w:rPr>
        <w:t>.</w:t>
      </w:r>
      <w:r>
        <w:rPr>
          <w:rFonts w:ascii="宋体" w:hAnsi="宋体" w:cs="宋体" w:eastAsia="宋体"/>
          <w:sz w:val="20"/>
        </w:rPr>
        <w:t>云平台基础保障能力要求</w:t>
      </w:r>
      <w:r>
        <w:rPr>
          <w:rFonts w:ascii="宋体" w:hAnsi="宋体" w:cs="宋体" w:eastAsia="宋体"/>
          <w:sz w:val="20"/>
        </w:rPr>
        <w:t>—安全配套服务</w:t>
      </w:r>
    </w:p>
    <w:p>
      <w:pPr>
        <w:pStyle w:val="null3"/>
        <w:ind w:firstLine="420"/>
        <w:jc w:val="left"/>
      </w:pPr>
      <w:r>
        <w:rPr>
          <w:rFonts w:ascii="宋体" w:hAnsi="宋体" w:cs="宋体" w:eastAsia="宋体"/>
          <w:sz w:val="20"/>
        </w:rPr>
        <w:t>提供包括</w:t>
      </w:r>
      <w:r>
        <w:rPr>
          <w:rFonts w:ascii="宋体" w:hAnsi="宋体" w:cs="宋体" w:eastAsia="宋体"/>
        </w:rPr>
        <w:t>安全操作审计服务、（非租户）主机防病毒、（非租户）数据库审计、统一身份认证服务</w:t>
      </w:r>
      <w:r>
        <w:rPr>
          <w:rFonts w:ascii="宋体" w:hAnsi="宋体" w:cs="宋体" w:eastAsia="宋体"/>
          <w:sz w:val="20"/>
        </w:rPr>
        <w:t>等云平台安全配套设施。</w:t>
      </w:r>
    </w:p>
    <w:p>
      <w:pPr>
        <w:pStyle w:val="null3"/>
        <w:jc w:val="both"/>
      </w:pPr>
      <w:r>
        <w:rPr>
          <w:rFonts w:ascii="宋体" w:hAnsi="宋体" w:cs="宋体" w:eastAsia="宋体"/>
          <w:sz w:val="20"/>
        </w:rPr>
        <w:t>1</w:t>
      </w:r>
      <w:r>
        <w:rPr>
          <w:rFonts w:ascii="宋体" w:hAnsi="宋体" w:cs="宋体" w:eastAsia="宋体"/>
          <w:sz w:val="20"/>
        </w:rPr>
        <w:t>2</w:t>
      </w:r>
      <w:r>
        <w:rPr>
          <w:rFonts w:ascii="宋体" w:hAnsi="宋体" w:cs="宋体" w:eastAsia="宋体"/>
          <w:sz w:val="20"/>
        </w:rPr>
        <w:t>.云平台基础保障能力要求—响应的及时性</w:t>
      </w:r>
    </w:p>
    <w:p>
      <w:pPr>
        <w:pStyle w:val="null3"/>
        <w:ind w:firstLine="420"/>
        <w:jc w:val="left"/>
      </w:pPr>
      <w:r>
        <w:rPr>
          <w:rFonts w:ascii="宋体" w:hAnsi="宋体" w:cs="宋体" w:eastAsia="宋体"/>
          <w:sz w:val="20"/>
        </w:rPr>
        <w:t>为</w:t>
      </w:r>
      <w:r>
        <w:rPr>
          <w:rFonts w:ascii="宋体" w:hAnsi="宋体" w:cs="宋体" w:eastAsia="宋体"/>
          <w:sz w:val="20"/>
        </w:rPr>
        <w:t>福建省交通信息通信与应急处置中心</w:t>
      </w:r>
      <w:r>
        <w:rPr>
          <w:rFonts w:ascii="宋体" w:hAnsi="宋体" w:cs="宋体" w:eastAsia="宋体"/>
          <w:sz w:val="20"/>
        </w:rPr>
        <w:t>相关业务系统的稳定运行，配备</w:t>
      </w:r>
      <w:r>
        <w:rPr>
          <w:rFonts w:ascii="宋体" w:hAnsi="宋体" w:cs="宋体" w:eastAsia="宋体"/>
          <w:sz w:val="20"/>
        </w:rPr>
        <w:t>5</w:t>
      </w:r>
      <w:r>
        <w:rPr>
          <w:rFonts w:ascii="宋体" w:hAnsi="宋体" w:cs="宋体" w:eastAsia="宋体"/>
          <w:sz w:val="20"/>
        </w:rPr>
        <w:t>人技术支撑团队，提供</w:t>
      </w:r>
      <w:r>
        <w:rPr>
          <w:rFonts w:ascii="宋体" w:hAnsi="宋体" w:cs="宋体" w:eastAsia="宋体"/>
          <w:sz w:val="20"/>
        </w:rPr>
        <w:t>5*8小时现场值守、7*24小时远程技术支持运维服务，负责云资源分配、故障受理、故障快速定位、故障紧急恢复。</w:t>
      </w:r>
    </w:p>
    <w:p>
      <w:pPr>
        <w:pStyle w:val="null3"/>
        <w:jc w:val="both"/>
      </w:pPr>
      <w:r>
        <w:rPr>
          <w:rFonts w:ascii="宋体" w:hAnsi="宋体" w:cs="宋体" w:eastAsia="宋体"/>
          <w:sz w:val="20"/>
        </w:rPr>
        <w:t>▲1</w:t>
      </w:r>
      <w:r>
        <w:rPr>
          <w:rFonts w:ascii="宋体" w:hAnsi="宋体" w:cs="宋体" w:eastAsia="宋体"/>
          <w:sz w:val="20"/>
        </w:rPr>
        <w:t>3</w:t>
      </w:r>
      <w:r>
        <w:rPr>
          <w:rFonts w:ascii="宋体" w:hAnsi="宋体" w:cs="宋体" w:eastAsia="宋体"/>
          <w:sz w:val="20"/>
        </w:rPr>
        <w:t>.云平台基础保障能力要求—在线服务能力</w:t>
      </w:r>
    </w:p>
    <w:p>
      <w:pPr>
        <w:pStyle w:val="null3"/>
        <w:ind w:firstLine="420"/>
        <w:jc w:val="left"/>
      </w:pPr>
      <w:r>
        <w:rPr>
          <w:rFonts w:ascii="宋体" w:hAnsi="宋体" w:cs="宋体" w:eastAsia="宋体"/>
          <w:sz w:val="20"/>
        </w:rPr>
        <w:t>为便于</w:t>
      </w:r>
      <w:r>
        <w:rPr>
          <w:rFonts w:ascii="宋体" w:hAnsi="宋体" w:cs="宋体" w:eastAsia="宋体"/>
          <w:sz w:val="20"/>
        </w:rPr>
        <w:t>福建省交通信息通信与应急处置中心</w:t>
      </w:r>
      <w:r>
        <w:rPr>
          <w:rFonts w:ascii="宋体" w:hAnsi="宋体" w:cs="宋体" w:eastAsia="宋体"/>
          <w:sz w:val="20"/>
        </w:rPr>
        <w:t>使用</w:t>
      </w:r>
      <w:r>
        <w:rPr>
          <w:rFonts w:ascii="宋体" w:hAnsi="宋体" w:cs="宋体" w:eastAsia="宋体"/>
          <w:sz w:val="20"/>
        </w:rPr>
        <w:t>、管理云资源，云服务商具备云资源服务线上管理能力，云上安全防御与分析能力，业务系统安全动态管理能力，安全运维通道服务能力，云主机数据备份，数据备份服务。</w:t>
      </w:r>
    </w:p>
    <w:p>
      <w:pPr>
        <w:pStyle w:val="null3"/>
        <w:jc w:val="left"/>
      </w:pPr>
      <w:r>
        <w:rPr>
          <w:rFonts w:ascii="宋体" w:hAnsi="宋体" w:cs="宋体" w:eastAsia="宋体"/>
          <w:sz w:val="20"/>
        </w:rPr>
        <w:t>▲1</w:t>
      </w:r>
      <w:r>
        <w:rPr>
          <w:rFonts w:ascii="宋体" w:hAnsi="宋体" w:cs="宋体" w:eastAsia="宋体"/>
          <w:sz w:val="20"/>
        </w:rPr>
        <w:t>4</w:t>
      </w:r>
      <w:r>
        <w:rPr>
          <w:rFonts w:ascii="宋体" w:hAnsi="宋体" w:cs="宋体" w:eastAsia="宋体"/>
          <w:sz w:val="20"/>
        </w:rPr>
        <w:t>.云平台基础保障能力要求—互联网网络出口流量分析能力</w:t>
      </w:r>
    </w:p>
    <w:p>
      <w:pPr>
        <w:pStyle w:val="null3"/>
        <w:ind w:firstLine="420"/>
        <w:jc w:val="left"/>
      </w:pPr>
      <w:r>
        <w:rPr>
          <w:rFonts w:ascii="宋体" w:hAnsi="宋体" w:cs="宋体" w:eastAsia="宋体"/>
          <w:sz w:val="20"/>
        </w:rPr>
        <w:t>所提供的云平台具备业务网络流量分析能力。</w:t>
      </w:r>
    </w:p>
    <w:p>
      <w:pPr>
        <w:pStyle w:val="null3"/>
        <w:jc w:val="both"/>
      </w:pPr>
      <w:r>
        <w:rPr>
          <w:rFonts w:ascii="宋体" w:hAnsi="宋体" w:cs="宋体" w:eastAsia="宋体"/>
          <w:sz w:val="20"/>
        </w:rPr>
        <w:t>15.云上业务运维管理服务</w:t>
      </w:r>
    </w:p>
    <w:p>
      <w:pPr>
        <w:pStyle w:val="null3"/>
        <w:jc w:val="both"/>
      </w:pPr>
      <w:r>
        <w:rPr>
          <w:rFonts w:ascii="宋体" w:hAnsi="宋体" w:cs="宋体" w:eastAsia="宋体"/>
          <w:sz w:val="20"/>
        </w:rPr>
        <w:t>（</w:t>
      </w:r>
      <w:r>
        <w:rPr>
          <w:rFonts w:ascii="宋体" w:hAnsi="宋体" w:cs="宋体" w:eastAsia="宋体"/>
          <w:sz w:val="20"/>
        </w:rPr>
        <w:t>1）资产和报告管理服务</w:t>
      </w:r>
    </w:p>
    <w:p>
      <w:pPr>
        <w:pStyle w:val="null3"/>
        <w:ind w:firstLine="400"/>
        <w:jc w:val="both"/>
      </w:pPr>
      <w:r>
        <w:rPr>
          <w:rFonts w:ascii="宋体" w:hAnsi="宋体" w:cs="宋体" w:eastAsia="宋体"/>
          <w:sz w:val="20"/>
        </w:rPr>
        <w:t>资产管理服务（驻场工程师负责采购人政务外网云区、采购人政务信息网云区的相关虚拟机、数据库软件、网络、存储、安全等资源建立资产配置管理信息库，完善信息资料并动态更新维护档案，并提交给采购人）</w:t>
      </w:r>
      <w:r>
        <w:rPr>
          <w:rFonts w:ascii="宋体" w:hAnsi="宋体" w:cs="宋体" w:eastAsia="宋体"/>
          <w:sz w:val="20"/>
        </w:rPr>
        <w:t>；</w:t>
      </w:r>
      <w:r>
        <w:rPr>
          <w:rFonts w:ascii="宋体" w:hAnsi="宋体" w:cs="宋体" w:eastAsia="宋体"/>
          <w:sz w:val="20"/>
        </w:rPr>
        <w:t>报告管理服务（驻场工程师在巡查、故障管理、资产管理等服务过程中，向采购人提交《日常例行巡查报告》、《故障处理报告》、《资产管理报告》等日常维护报告）</w:t>
      </w:r>
      <w:r>
        <w:rPr>
          <w:rFonts w:ascii="宋体" w:hAnsi="宋体" w:cs="宋体" w:eastAsia="宋体"/>
          <w:sz w:val="20"/>
        </w:rPr>
        <w:t>；</w:t>
      </w:r>
      <w:r>
        <w:rPr>
          <w:rFonts w:ascii="宋体" w:hAnsi="宋体" w:cs="宋体" w:eastAsia="宋体"/>
          <w:sz w:val="20"/>
        </w:rPr>
        <w:t>采购人交办其它事项。服务人员由驻场工程师担当。</w:t>
      </w:r>
    </w:p>
    <w:p>
      <w:pPr>
        <w:pStyle w:val="null3"/>
        <w:jc w:val="both"/>
      </w:pPr>
      <w:r>
        <w:rPr>
          <w:rFonts w:ascii="宋体" w:hAnsi="宋体" w:cs="宋体" w:eastAsia="宋体"/>
          <w:sz w:val="20"/>
        </w:rPr>
        <w:t>（</w:t>
      </w:r>
      <w:r>
        <w:rPr>
          <w:rFonts w:ascii="宋体" w:hAnsi="宋体" w:cs="宋体" w:eastAsia="宋体"/>
          <w:sz w:val="20"/>
        </w:rPr>
        <w:t>2）技术支持</w:t>
      </w:r>
    </w:p>
    <w:p>
      <w:pPr>
        <w:pStyle w:val="null3"/>
        <w:ind w:firstLine="400"/>
        <w:jc w:val="both"/>
      </w:pPr>
      <w:r>
        <w:rPr>
          <w:rFonts w:ascii="宋体" w:hAnsi="宋体" w:cs="宋体" w:eastAsia="宋体"/>
          <w:sz w:val="20"/>
        </w:rPr>
        <w:t>7×24小时远程技术支持服务，包括紧急情况下的现场支撑服务。严格按流程规范进行云平台日常故障处理、数据库故障处理、安全事件处置，还包括日常技术咨询、高端技术服务等。每次故障处理结束后，必须向采购人提供一份单独的书面报告以详细描述问题的发生、问题的处理过程、问题的评估及建议。提供意外情况下的应急保障方案，方案的内容应包括：应急环境的建立、数据备份、安全处置、环境参数的备份、人员配合等内容。服务人员由从事IT工作三年以上的资深工程师担当。</w:t>
      </w:r>
    </w:p>
    <w:p>
      <w:pPr>
        <w:pStyle w:val="null3"/>
        <w:jc w:val="both"/>
      </w:pPr>
      <w:r>
        <w:rPr>
          <w:rFonts w:ascii="宋体" w:hAnsi="宋体" w:cs="宋体" w:eastAsia="宋体"/>
          <w:sz w:val="20"/>
        </w:rPr>
        <w:t>（</w:t>
      </w:r>
      <w:r>
        <w:rPr>
          <w:rFonts w:ascii="宋体" w:hAnsi="宋体" w:cs="宋体" w:eastAsia="宋体"/>
          <w:sz w:val="20"/>
        </w:rPr>
        <w:t>3）</w:t>
      </w:r>
      <w:r>
        <w:rPr>
          <w:rFonts w:ascii="宋体" w:hAnsi="宋体" w:cs="宋体" w:eastAsia="宋体"/>
          <w:sz w:val="20"/>
        </w:rPr>
        <w:t>应急演练</w:t>
      </w:r>
    </w:p>
    <w:p>
      <w:pPr>
        <w:pStyle w:val="null3"/>
        <w:ind w:firstLine="400"/>
        <w:jc w:val="both"/>
      </w:pPr>
      <w:r>
        <w:rPr>
          <w:rFonts w:ascii="宋体" w:hAnsi="宋体" w:cs="宋体" w:eastAsia="宋体"/>
          <w:sz w:val="20"/>
        </w:rPr>
        <w:t>虚机备份恢复</w:t>
      </w:r>
      <w:r>
        <w:rPr>
          <w:rFonts w:ascii="宋体" w:hAnsi="宋体" w:cs="宋体" w:eastAsia="宋体"/>
          <w:sz w:val="20"/>
        </w:rPr>
        <w:t>或</w:t>
      </w:r>
      <w:r>
        <w:rPr>
          <w:rFonts w:ascii="宋体" w:hAnsi="宋体" w:cs="宋体" w:eastAsia="宋体"/>
          <w:sz w:val="20"/>
        </w:rPr>
        <w:t>数据库备份恢复，每年</w:t>
      </w:r>
      <w:r>
        <w:rPr>
          <w:rFonts w:ascii="宋体" w:hAnsi="宋体" w:cs="宋体" w:eastAsia="宋体"/>
          <w:sz w:val="20"/>
        </w:rPr>
        <w:t>2次，</w:t>
      </w:r>
      <w:r>
        <w:rPr>
          <w:rFonts w:ascii="宋体" w:hAnsi="宋体" w:cs="宋体" w:eastAsia="宋体"/>
          <w:sz w:val="20"/>
        </w:rPr>
        <w:t>共</w:t>
      </w:r>
      <w:r>
        <w:rPr>
          <w:rFonts w:ascii="宋体" w:hAnsi="宋体" w:cs="宋体" w:eastAsia="宋体"/>
          <w:sz w:val="20"/>
        </w:rPr>
        <w:t>计</w:t>
      </w:r>
      <w:r>
        <w:rPr>
          <w:rFonts w:ascii="宋体" w:hAnsi="宋体" w:cs="宋体" w:eastAsia="宋体"/>
          <w:sz w:val="20"/>
        </w:rPr>
        <w:t xml:space="preserve">2次。服务人员由从事IT工作三年以上的资深工程师担当。   </w:t>
      </w:r>
    </w:p>
    <w:p>
      <w:pPr>
        <w:pStyle w:val="null3"/>
        <w:jc w:val="both"/>
      </w:pPr>
      <w:r>
        <w:rPr>
          <w:rFonts w:ascii="宋体" w:hAnsi="宋体" w:cs="宋体" w:eastAsia="宋体"/>
          <w:sz w:val="20"/>
        </w:rPr>
        <w:t>▲（4）业务运行状态管理</w:t>
      </w:r>
      <w:r>
        <w:br/>
      </w:r>
      <w:r>
        <w:rPr>
          <w:rFonts w:ascii="calibri" w:hAnsi="calibri" w:cs="calibri" w:eastAsia="calibri"/>
          <w:sz w:val="21"/>
        </w:rPr>
        <w:t xml:space="preserve">     </w:t>
      </w:r>
      <w:r>
        <w:rPr>
          <w:rFonts w:ascii="宋体" w:hAnsi="宋体" w:cs="宋体" w:eastAsia="宋体"/>
          <w:sz w:val="20"/>
        </w:rPr>
        <w:t>全年提供云资源等运行状态的可视化展示服务。</w:t>
      </w:r>
    </w:p>
    <w:p>
      <w:pPr>
        <w:pStyle w:val="null3"/>
        <w:jc w:val="both"/>
      </w:pPr>
      <w:r>
        <w:rPr>
          <w:rFonts w:ascii="宋体" w:hAnsi="宋体" w:cs="宋体" w:eastAsia="宋体"/>
          <w:sz w:val="20"/>
        </w:rPr>
        <w:t>16</w:t>
      </w:r>
      <w:r>
        <w:rPr>
          <w:rFonts w:ascii="宋体" w:hAnsi="宋体" w:cs="宋体" w:eastAsia="宋体"/>
          <w:sz w:val="20"/>
        </w:rPr>
        <w:t>.云计算资源服务质量考核标准</w:t>
      </w:r>
    </w:p>
    <w:tbl>
      <w:tblPr>
        <w:tblW w:w="0" w:type="auto"/>
        <w:tblInd w:type="dxa" w:w="60"/>
        <w:tblBorders>
          <w:top w:val="none" w:color="000000" w:sz="4"/>
          <w:left w:val="none" w:color="000000" w:sz="4"/>
          <w:bottom w:val="none" w:color="000000" w:sz="4"/>
          <w:right w:val="none" w:color="000000" w:sz="4"/>
          <w:insideH w:val="none"/>
          <w:insideV w:val="none"/>
        </w:tblBorders>
      </w:tblPr>
      <w:tblGrid>
        <w:gridCol w:w="825"/>
        <w:gridCol w:w="1620"/>
        <w:gridCol w:w="3090"/>
        <w:gridCol w:w="3720"/>
        <w:gridCol w:w="990"/>
      </w:tblGrid>
      <w:tr>
        <w:tc>
          <w:tcPr>
            <w:tcW w:type="dxa" w:w="10245"/>
            <w:gridSpan w:val="5"/>
            <w:tcBorders>
              <w:top w:val="single" w:color="000000" w:sz="4"/>
              <w:left w:val="single" w:color="000000" w:sz="4"/>
              <w:bottom w:val="single" w:color="000000" w:sz="4"/>
              <w:right w:val="single" w:color="000000" w:sz="4"/>
            </w:tcBorders>
            <w:shd w:fill="FFFFFF"/>
            <w:tcMar>
              <w:top w:type="dxa" w:w="0"/>
              <w:left w:type="dxa" w:w="75"/>
              <w:bottom w:type="dxa" w:w="0"/>
              <w:right w:type="dxa" w:w="75"/>
            </w:tcMar>
            <w:vAlign w:val="top"/>
          </w:tcPr>
          <w:p>
            <w:pPr>
              <w:pStyle w:val="null3"/>
              <w:jc w:val="center"/>
            </w:pPr>
            <w:r>
              <w:rPr>
                <w:rFonts w:ascii="宋体" w:hAnsi="宋体" w:cs="宋体" w:eastAsia="宋体"/>
                <w:sz w:val="20"/>
                <w:b/>
              </w:rPr>
              <w:t>年度云计算资源服务质量考核标准（总分100分）</w:t>
            </w:r>
          </w:p>
        </w:tc>
      </w:tr>
      <w:tr>
        <w:tc>
          <w:tcPr>
            <w:tcW w:type="dxa" w:w="2445"/>
            <w:gridSpan w:val="2"/>
            <w:tcBorders>
              <w:top w:val="none" w:color="000000" w:sz="4"/>
              <w:left w:val="single" w:color="000000" w:sz="4"/>
              <w:bottom w:val="single" w:color="000000" w:sz="4"/>
              <w:right w:val="single" w:color="000000" w:sz="4"/>
            </w:tcBorders>
            <w:shd w:fill="FFFFFF"/>
            <w:tcMar>
              <w:top w:type="dxa" w:w="0"/>
              <w:left w:type="dxa" w:w="75"/>
              <w:bottom w:type="dxa" w:w="0"/>
              <w:right w:type="dxa" w:w="75"/>
            </w:tcMar>
            <w:vAlign w:val="top"/>
          </w:tcPr>
          <w:p>
            <w:pPr>
              <w:pStyle w:val="null3"/>
              <w:jc w:val="center"/>
            </w:pPr>
            <w:r>
              <w:rPr>
                <w:rFonts w:ascii="宋体" w:hAnsi="宋体" w:cs="宋体" w:eastAsia="宋体"/>
                <w:sz w:val="20"/>
                <w:b/>
              </w:rPr>
              <w:t>服务类别</w:t>
            </w:r>
          </w:p>
        </w:tc>
        <w:tc>
          <w:tcPr>
            <w:tcW w:type="dxa" w:w="3090"/>
            <w:tcBorders>
              <w:top w:val="none" w:color="000000" w:sz="4"/>
              <w:left w:val="none" w:color="000000" w:sz="4"/>
              <w:bottom w:val="single" w:color="000000" w:sz="4"/>
              <w:right w:val="single" w:color="000000" w:sz="4"/>
            </w:tcBorders>
            <w:shd w:fill="FFFFFF"/>
            <w:tcMar>
              <w:top w:type="dxa" w:w="0"/>
              <w:left w:type="dxa" w:w="75"/>
              <w:bottom w:type="dxa" w:w="0"/>
              <w:right w:type="dxa" w:w="75"/>
            </w:tcMar>
            <w:vAlign w:val="top"/>
          </w:tcPr>
          <w:p>
            <w:pPr>
              <w:pStyle w:val="null3"/>
              <w:jc w:val="center"/>
            </w:pPr>
            <w:r>
              <w:rPr>
                <w:rFonts w:ascii="宋体" w:hAnsi="宋体" w:cs="宋体" w:eastAsia="宋体"/>
                <w:sz w:val="20"/>
                <w:b/>
              </w:rPr>
              <w:t>服务内容</w:t>
            </w:r>
          </w:p>
        </w:tc>
        <w:tc>
          <w:tcPr>
            <w:tcW w:type="dxa" w:w="3720"/>
            <w:tcBorders>
              <w:top w:val="none" w:color="000000" w:sz="4"/>
              <w:left w:val="none" w:color="000000" w:sz="4"/>
              <w:bottom w:val="single" w:color="000000" w:sz="4"/>
              <w:right w:val="single" w:color="000000" w:sz="4"/>
            </w:tcBorders>
            <w:shd w:fill="FFFFFF"/>
            <w:tcMar>
              <w:top w:type="dxa" w:w="0"/>
              <w:left w:type="dxa" w:w="75"/>
              <w:bottom w:type="dxa" w:w="0"/>
              <w:right w:type="dxa" w:w="75"/>
            </w:tcMar>
            <w:vAlign w:val="top"/>
          </w:tcPr>
          <w:p>
            <w:pPr>
              <w:pStyle w:val="null3"/>
              <w:jc w:val="center"/>
            </w:pPr>
            <w:r>
              <w:rPr>
                <w:rFonts w:ascii="宋体" w:hAnsi="宋体" w:cs="宋体" w:eastAsia="宋体"/>
                <w:sz w:val="20"/>
                <w:b/>
              </w:rPr>
              <w:t>服务质量考核标准</w:t>
            </w:r>
          </w:p>
        </w:tc>
        <w:tc>
          <w:tcPr>
            <w:tcW w:type="dxa" w:w="990"/>
            <w:tcBorders>
              <w:top w:val="none" w:color="000000" w:sz="4"/>
              <w:left w:val="none" w:color="000000" w:sz="4"/>
              <w:bottom w:val="single" w:color="000000" w:sz="4"/>
              <w:right w:val="single" w:color="000000" w:sz="4"/>
            </w:tcBorders>
            <w:shd w:fill="FFFFFF"/>
            <w:tcMar>
              <w:top w:type="dxa" w:w="0"/>
              <w:left w:type="dxa" w:w="75"/>
              <w:bottom w:type="dxa" w:w="0"/>
              <w:right w:type="dxa" w:w="75"/>
            </w:tcMar>
            <w:vAlign w:val="top"/>
          </w:tcPr>
          <w:p>
            <w:pPr>
              <w:pStyle w:val="null3"/>
              <w:jc w:val="center"/>
            </w:pPr>
            <w:r>
              <w:rPr>
                <w:rFonts w:ascii="宋体" w:hAnsi="宋体" w:cs="宋体" w:eastAsia="宋体"/>
                <w:sz w:val="20"/>
                <w:b/>
              </w:rPr>
              <w:t>分值</w:t>
            </w:r>
          </w:p>
        </w:tc>
      </w:tr>
      <w:tr>
        <w:tc>
          <w:tcPr>
            <w:tcW w:type="dxa" w:w="825"/>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服务能力</w:t>
            </w:r>
          </w:p>
        </w:tc>
        <w:tc>
          <w:tcPr>
            <w:tcW w:type="dxa" w:w="16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1.应用系统稳定性服务质量</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应用系统运行故障</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经核实为云平台问题造成应用无法正常运行的，每次扣0.5分，扣完为止。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15</w:t>
            </w:r>
          </w:p>
        </w:tc>
      </w:tr>
      <w:tr>
        <w:tc>
          <w:tcPr>
            <w:tcW w:type="dxa" w:w="825"/>
            <w:vMerge/>
            <w:tcBorders>
              <w:top w:val="none" w:color="000000" w:sz="4"/>
              <w:left w:val="single" w:color="000000" w:sz="4"/>
              <w:bottom w:val="single" w:color="000000" w:sz="4"/>
              <w:right w:val="single" w:color="000000" w:sz="4"/>
            </w:tcBorders>
          </w:tcPr>
          <w:p/>
        </w:tc>
        <w:tc>
          <w:tcPr>
            <w:tcW w:type="dxa" w:w="1620"/>
            <w:vMerge w:val="restart"/>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2.技术支持</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远程技术支持</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支撑人员电话关机，扣1分，扣完为止。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quot;times new roman&quot;" w:hAnsi="&quot;times new roman&quot;" w:cs="&quot;times new roman&quot;" w:eastAsia="&quot;times new roman&quot;"/>
                <w:sz w:val="19"/>
              </w:rPr>
              <w:t>7</w:t>
            </w:r>
          </w:p>
        </w:tc>
      </w:tr>
      <w:tr>
        <w:tc>
          <w:tcPr>
            <w:tcW w:type="dxa" w:w="825"/>
            <w:vMerge/>
            <w:tcBorders>
              <w:top w:val="none" w:color="000000" w:sz="4"/>
              <w:left w:val="single" w:color="000000" w:sz="4"/>
              <w:bottom w:val="single" w:color="000000" w:sz="4"/>
              <w:right w:val="single" w:color="000000" w:sz="4"/>
            </w:tcBorders>
          </w:tcPr>
          <w:p/>
        </w:tc>
        <w:tc>
          <w:tcPr>
            <w:tcW w:type="dxa" w:w="1620"/>
            <w:vMerge/>
            <w:tcBorders>
              <w:top w:val="none" w:color="000000" w:sz="4"/>
              <w:left w:val="none" w:color="000000" w:sz="4"/>
              <w:bottom w:val="single" w:color="000000" w:sz="4"/>
              <w:right w:val="single" w:color="000000" w:sz="4"/>
            </w:tcBorders>
          </w:tcP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现场技术支持</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驻场人员不在现场，每发现1次扣0.5分，扣完为止。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pPr>
            <w:r>
              <w:rPr>
                <w:rFonts w:ascii="&quot;times new roman&quot;" w:hAnsi="&quot;times new roman&quot;" w:cs="&quot;times new roman&quot;" w:eastAsia="&quot;times new roman&quot;"/>
                <w:sz w:val="19"/>
              </w:rPr>
              <w:t xml:space="preserve">       8</w:t>
            </w:r>
          </w:p>
        </w:tc>
      </w:tr>
      <w:tr>
        <w:tc>
          <w:tcPr>
            <w:tcW w:type="dxa" w:w="825"/>
            <w:vMerge/>
            <w:tcBorders>
              <w:top w:val="none" w:color="000000" w:sz="4"/>
              <w:left w:val="single" w:color="000000" w:sz="4"/>
              <w:bottom w:val="single" w:color="000000" w:sz="4"/>
              <w:right w:val="single" w:color="000000" w:sz="4"/>
            </w:tcBorders>
          </w:tcPr>
          <w:p/>
        </w:tc>
        <w:tc>
          <w:tcPr>
            <w:tcW w:type="dxa" w:w="16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3.应急保障</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应急保障</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应急保障未到场，一次扣1分，扣完为止。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10</w:t>
            </w:r>
          </w:p>
        </w:tc>
      </w:tr>
      <w:tr>
        <w:tc>
          <w:tcPr>
            <w:tcW w:type="dxa" w:w="825"/>
            <w:vMerge/>
            <w:tcBorders>
              <w:top w:val="none" w:color="000000" w:sz="4"/>
              <w:left w:val="single" w:color="000000" w:sz="4"/>
              <w:bottom w:val="single" w:color="000000" w:sz="4"/>
              <w:right w:val="single" w:color="000000" w:sz="4"/>
            </w:tcBorders>
          </w:tcPr>
          <w:p/>
        </w:tc>
        <w:tc>
          <w:tcPr>
            <w:tcW w:type="dxa" w:w="1620"/>
            <w:vMerge w:val="restart"/>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4.保密规定</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中标人只能在采购人许可的IT系统范围内提供服务，不得利用工作之便非法侵入或尝试侵入其他系统。</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每违反一次，视影响程度扣1-2分；若给采购人造成负面影响的，加重扣分，直至该分项扣完为止。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10</w:t>
            </w:r>
          </w:p>
        </w:tc>
      </w:tr>
      <w:tr>
        <w:tc>
          <w:tcPr>
            <w:tcW w:type="dxa" w:w="825"/>
            <w:vMerge/>
            <w:tcBorders>
              <w:top w:val="none" w:color="000000" w:sz="4"/>
              <w:left w:val="single" w:color="000000" w:sz="4"/>
              <w:bottom w:val="single" w:color="000000" w:sz="4"/>
              <w:right w:val="single" w:color="000000" w:sz="4"/>
            </w:tcBorders>
          </w:tcPr>
          <w:p/>
        </w:tc>
        <w:tc>
          <w:tcPr>
            <w:tcW w:type="dxa" w:w="1620"/>
            <w:vMerge/>
            <w:tcBorders>
              <w:top w:val="none" w:color="000000" w:sz="4"/>
              <w:left w:val="none" w:color="000000" w:sz="4"/>
              <w:bottom w:val="single" w:color="000000" w:sz="4"/>
              <w:right w:val="single" w:color="000000" w:sz="4"/>
            </w:tcBorders>
          </w:tcP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中标人有责任保证所服务系统和数据的安全，未经许可不得泄露任何数据。</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每违反一次，视影响程度扣1-2分；若给采购人造成负面影响的，加重扣分，直至该分项扣完为止。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10</w:t>
            </w:r>
          </w:p>
        </w:tc>
      </w:tr>
      <w:tr>
        <w:tc>
          <w:tcPr>
            <w:tcW w:type="dxa" w:w="825"/>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资源服务质量</w:t>
            </w:r>
          </w:p>
        </w:tc>
        <w:tc>
          <w:tcPr>
            <w:tcW w:type="dxa" w:w="16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1.计算资源服务质量</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主机计算资源利用率（超配比）</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分配的VCPU、内存虚拟资源不超过物理资源的4倍。每超过1倍，扣1分，扣完为止。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8</w:t>
            </w:r>
          </w:p>
        </w:tc>
      </w:tr>
      <w:tr>
        <w:tc>
          <w:tcPr>
            <w:tcW w:type="dxa" w:w="825"/>
            <w:vMerge/>
            <w:tcBorders>
              <w:top w:val="none" w:color="000000" w:sz="4"/>
              <w:left w:val="single" w:color="000000" w:sz="4"/>
              <w:bottom w:val="single" w:color="000000" w:sz="4"/>
              <w:right w:val="single" w:color="000000" w:sz="4"/>
            </w:tcBorders>
          </w:tcPr>
          <w:p/>
        </w:tc>
        <w:tc>
          <w:tcPr>
            <w:tcW w:type="dxa" w:w="16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2.存储资源服务质量</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存储资源的可用性</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大于99.99%（52.6分钟）。每超过20分钟，扣1分，扣完为止。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6</w:t>
            </w:r>
          </w:p>
        </w:tc>
      </w:tr>
      <w:tr>
        <w:tc>
          <w:tcPr>
            <w:tcW w:type="dxa" w:w="825"/>
            <w:vMerge/>
            <w:tcBorders>
              <w:top w:val="none" w:color="000000" w:sz="4"/>
              <w:left w:val="single" w:color="000000" w:sz="4"/>
              <w:bottom w:val="single" w:color="000000" w:sz="4"/>
              <w:right w:val="single" w:color="000000" w:sz="4"/>
            </w:tcBorders>
          </w:tcPr>
          <w:p/>
        </w:tc>
        <w:tc>
          <w:tcPr>
            <w:tcW w:type="dxa" w:w="16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3.数据备份服务质量</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数据备份的高效可靠性</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恢复数据失败次数。每失败1次扣1分，扣完为止。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8</w:t>
            </w:r>
          </w:p>
        </w:tc>
      </w:tr>
      <w:tr>
        <w:tc>
          <w:tcPr>
            <w:tcW w:type="dxa" w:w="825"/>
            <w:vMerge/>
            <w:tcBorders>
              <w:top w:val="none" w:color="000000" w:sz="4"/>
              <w:left w:val="single" w:color="000000" w:sz="4"/>
              <w:bottom w:val="single" w:color="000000" w:sz="4"/>
              <w:right w:val="single" w:color="000000" w:sz="4"/>
            </w:tcBorders>
          </w:tcPr>
          <w:p/>
        </w:tc>
        <w:tc>
          <w:tcPr>
            <w:tcW w:type="dxa" w:w="1620"/>
            <w:vMerge w:val="restart"/>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4.操作系统与数据库服务质量</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操作系统平均无故障运行时间</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服务器端操作系统不可用时间为平均52.6分钟/年。每超过20分钟，扣1分，扣完为止。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7</w:t>
            </w:r>
          </w:p>
        </w:tc>
      </w:tr>
      <w:tr>
        <w:tc>
          <w:tcPr>
            <w:tcW w:type="dxa" w:w="825"/>
            <w:vMerge/>
            <w:tcBorders>
              <w:top w:val="none" w:color="000000" w:sz="4"/>
              <w:left w:val="single" w:color="000000" w:sz="4"/>
              <w:bottom w:val="single" w:color="000000" w:sz="4"/>
              <w:right w:val="single" w:color="000000" w:sz="4"/>
            </w:tcBorders>
          </w:tcPr>
          <w:p/>
        </w:tc>
        <w:tc>
          <w:tcPr>
            <w:tcW w:type="dxa" w:w="1620"/>
            <w:vMerge/>
            <w:tcBorders>
              <w:top w:val="none" w:color="000000" w:sz="4"/>
              <w:left w:val="none" w:color="000000" w:sz="4"/>
              <w:bottom w:val="single" w:color="000000" w:sz="4"/>
              <w:right w:val="single" w:color="000000" w:sz="4"/>
            </w:tcBorders>
          </w:tcP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数据库系统平均无故障运行时间</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数据库系统不可用时间为平均52.6分钟/年。每超过20分钟，扣1分，扣完为止。</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6</w:t>
            </w:r>
          </w:p>
        </w:tc>
      </w:tr>
      <w:tr>
        <w:tc>
          <w:tcPr>
            <w:tcW w:type="dxa" w:w="825"/>
            <w:vMerge/>
            <w:tcBorders>
              <w:top w:val="none" w:color="000000" w:sz="4"/>
              <w:left w:val="single" w:color="000000" w:sz="4"/>
              <w:bottom w:val="single" w:color="000000" w:sz="4"/>
              <w:right w:val="single" w:color="000000" w:sz="4"/>
            </w:tcBorders>
          </w:tcPr>
          <w:p/>
        </w:tc>
        <w:tc>
          <w:tcPr>
            <w:tcW w:type="dxa" w:w="16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5.平台安全</w:t>
            </w:r>
          </w:p>
        </w:tc>
        <w:tc>
          <w:tcPr>
            <w:tcW w:type="dxa" w:w="30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政务云平台等保2.0测评</w:t>
            </w:r>
          </w:p>
        </w:tc>
        <w:tc>
          <w:tcPr>
            <w:tcW w:type="dxa" w:w="372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left"/>
            </w:pPr>
            <w:r>
              <w:rPr>
                <w:rFonts w:ascii="宋体" w:hAnsi="宋体" w:cs="宋体" w:eastAsia="宋体"/>
                <w:sz w:val="20"/>
              </w:rPr>
              <w:t>中标人承建的云平台是否达到国家网络安全等级保护2.0标准三级要求。合同签订之日起3个月内未提供平台等保测评报告，扣5分。</w:t>
            </w:r>
          </w:p>
        </w:tc>
        <w:tc>
          <w:tcPr>
            <w:tcW w:type="dxa" w:w="990"/>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jc w:val="center"/>
            </w:pPr>
            <w:r>
              <w:rPr>
                <w:rFonts w:ascii="宋体" w:hAnsi="宋体" w:cs="宋体" w:eastAsia="宋体"/>
                <w:sz w:val="20"/>
              </w:rPr>
              <w:t>5</w:t>
            </w:r>
          </w:p>
        </w:tc>
      </w:tr>
      <w:tr>
        <w:tc>
          <w:tcPr>
            <w:tcW w:type="dxa" w:w="10245"/>
            <w:gridSpan w:val="5"/>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jc w:val="both"/>
            </w:pPr>
            <w:r>
              <w:rPr>
                <w:rFonts w:ascii="宋体" w:hAnsi="宋体" w:cs="宋体" w:eastAsia="宋体"/>
                <w:sz w:val="20"/>
              </w:rPr>
              <w:t>注：由于计划内停机维护、应急演练、不可抗力因素造成的无法避免的问题，不在本表考核范围内。</w:t>
            </w:r>
          </w:p>
        </w:tc>
      </w:tr>
    </w:tbl>
    <w:p>
      <w:pPr>
        <w:pStyle w:val="null3"/>
        <w:jc w:val="both"/>
      </w:pPr>
      <w:r>
        <w:rPr>
          <w:rFonts w:ascii="calibri" w:hAnsi="calibri" w:cs="calibri" w:eastAsia="calibri"/>
          <w:sz w:val="24"/>
        </w:rPr>
        <w:t xml:space="preserve"> </w:t>
      </w:r>
      <w:r>
        <w:rPr>
          <w:rFonts w:ascii="宋体" w:hAnsi="宋体" w:cs="宋体" w:eastAsia="宋体"/>
          <w:sz w:val="24"/>
          <w:b/>
          <w:color w:val="FF0000"/>
        </w:rPr>
        <w:t>注：</w:t>
      </w:r>
      <w:r>
        <w:rPr>
          <w:rFonts w:ascii="宋体" w:hAnsi="宋体" w:cs="宋体" w:eastAsia="宋体"/>
          <w:sz w:val="24"/>
          <w:b/>
          <w:color w:val="FF0000"/>
        </w:rPr>
        <w:t>“二、技术和服务要求”中除以“▲”标示之外的其余内容均为“以‘★’标示的内容”，即“均为不允许负偏离的实质性要求”。</w:t>
      </w:r>
    </w:p>
    <w:p>
      <w:pPr>
        <w:pStyle w:val="null3"/>
        <w:jc w:val="both"/>
        <w:outlineLvl w:val="2"/>
      </w:pPr>
      <w:r>
        <w:rPr>
          <w:sz w:val="28"/>
          <w:b/>
        </w:rPr>
        <w:t>三、商务要求（以“★”标示的内容为不允许负偏离的实质性要求）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tc>
        <w:tc>
          <w:tcPr>
            <w:tcW w:type="dxa" w:w="2076"/>
          </w:tcPr>
          <w:p>
            <w:pPr>
              <w:pStyle w:val="null3"/>
              <w:jc w:val="left"/>
            </w:pPr>
            <w:r>
              <w:rPr/>
              <w:t>交货时间</w:t>
            </w:r>
          </w:p>
        </w:tc>
        <w:tc>
          <w:tcPr>
            <w:tcW w:type="dxa" w:w="2076"/>
          </w:tcPr>
          <w:p>
            <w:pPr>
              <w:pStyle w:val="null3"/>
              <w:jc w:val="left"/>
            </w:pPr>
            <w:r>
              <w:rPr/>
              <w:t>自合同签订之日起20天内提供本项目约定的服务，服务期：三年。</w:t>
            </w:r>
          </w:p>
        </w:tc>
      </w:tr>
      <w:tr>
        <w:tc>
          <w:tcPr>
            <w:tcW w:type="dxa" w:w="2076"/>
          </w:tcPr>
          <w:p>
            <w:pPr>
              <w:pStyle w:val="null3"/>
              <w:jc w:val="left"/>
            </w:pPr>
            <w:r>
              <w:rPr/>
              <w:t>2</w:t>
            </w:r>
          </w:p>
        </w:tc>
        <w:tc>
          <w:tcPr>
            <w:tcW w:type="dxa" w:w="2076"/>
          </w:tcPr>
          <w:p/>
        </w:tc>
        <w:tc>
          <w:tcPr>
            <w:tcW w:type="dxa" w:w="2076"/>
          </w:tcPr>
          <w:p>
            <w:pPr>
              <w:pStyle w:val="null3"/>
              <w:jc w:val="left"/>
            </w:pPr>
            <w:r>
              <w:rPr/>
              <w:t>交货地点</w:t>
            </w:r>
          </w:p>
        </w:tc>
        <w:tc>
          <w:tcPr>
            <w:tcW w:type="dxa" w:w="2076"/>
          </w:tcPr>
          <w:p>
            <w:pPr>
              <w:pStyle w:val="null3"/>
              <w:jc w:val="left"/>
            </w:pPr>
            <w:r>
              <w:rPr/>
              <w:t>福建省福州市长乐区文武砂镇数字福建产业园东湖一路1号，具体为采购人指定地点。</w:t>
            </w:r>
          </w:p>
        </w:tc>
      </w:tr>
      <w:tr>
        <w:tc>
          <w:tcPr>
            <w:tcW w:type="dxa" w:w="2076"/>
          </w:tcPr>
          <w:p>
            <w:pPr>
              <w:pStyle w:val="null3"/>
              <w:jc w:val="left"/>
            </w:pPr>
            <w:r>
              <w:rPr/>
              <w:t>3</w:t>
            </w:r>
          </w:p>
        </w:tc>
        <w:tc>
          <w:tcPr>
            <w:tcW w:type="dxa" w:w="2076"/>
          </w:tcPr>
          <w:p/>
        </w:tc>
        <w:tc>
          <w:tcPr>
            <w:tcW w:type="dxa" w:w="2076"/>
          </w:tcPr>
          <w:p>
            <w:pPr>
              <w:pStyle w:val="null3"/>
              <w:jc w:val="left"/>
            </w:pPr>
            <w:r>
              <w:rPr/>
              <w:t>交货条件</w:t>
            </w:r>
          </w:p>
        </w:tc>
        <w:tc>
          <w:tcPr>
            <w:tcW w:type="dxa" w:w="2076"/>
          </w:tcPr>
          <w:p>
            <w:pPr>
              <w:pStyle w:val="null3"/>
              <w:jc w:val="left"/>
            </w:pPr>
            <w:r>
              <w:rPr/>
              <w:t>按照招标文件要求提供云计算资源，由采购人确认无误。</w:t>
            </w:r>
          </w:p>
        </w:tc>
      </w:tr>
      <w:tr>
        <w:tc>
          <w:tcPr>
            <w:tcW w:type="dxa" w:w="2076"/>
          </w:tcPr>
          <w:p>
            <w:pPr>
              <w:pStyle w:val="null3"/>
              <w:jc w:val="left"/>
            </w:pPr>
            <w:r>
              <w:rPr/>
              <w:t>4</w:t>
            </w:r>
          </w:p>
        </w:tc>
        <w:tc>
          <w:tcPr>
            <w:tcW w:type="dxa" w:w="2076"/>
          </w:tcP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tc>
        <w:tc>
          <w:tcPr>
            <w:tcW w:type="dxa" w:w="2076"/>
          </w:tcPr>
          <w:p>
            <w:pPr>
              <w:pStyle w:val="null3"/>
              <w:jc w:val="left"/>
            </w:pPr>
            <w:r>
              <w:rPr/>
              <w:t>履约验收方式</w:t>
            </w:r>
          </w:p>
        </w:tc>
        <w:tc>
          <w:tcPr>
            <w:tcW w:type="dxa" w:w="2076"/>
          </w:tcPr>
          <w:p>
            <w:pPr>
              <w:pStyle w:val="null3"/>
              <w:jc w:val="left"/>
            </w:pPr>
            <w:r>
              <w:rPr/>
              <w:t>1、期次1，说明：按照招标文件规定，本项目每个自然年服务期限结束后，采购人根据服务内容对中标人年度服务情况进行服务期内全面验收考核，考核标准按照《云计算资源服务质量考核标准》。同时，中标人向采购人提交验收申请，并提交验收材料，由采购人组织项目验收小组进行项目验收工作。验收期限为每年度服务期结束后贰个月内。</w:t>
            </w:r>
          </w:p>
        </w:tc>
      </w:tr>
      <w:tr>
        <w:tc>
          <w:tcPr>
            <w:tcW w:type="dxa" w:w="2076"/>
          </w:tcPr>
          <w:p>
            <w:pPr>
              <w:pStyle w:val="null3"/>
              <w:jc w:val="left"/>
            </w:pPr>
            <w:r>
              <w:rPr/>
              <w:t>6</w:t>
            </w:r>
          </w:p>
        </w:tc>
        <w:tc>
          <w:tcPr>
            <w:tcW w:type="dxa" w:w="2076"/>
          </w:tcPr>
          <w:p/>
        </w:tc>
        <w:tc>
          <w:tcPr>
            <w:tcW w:type="dxa" w:w="2076"/>
          </w:tcPr>
          <w:p>
            <w:pPr>
              <w:pStyle w:val="null3"/>
              <w:jc w:val="left"/>
            </w:pPr>
            <w:r>
              <w:rPr/>
              <w:t>合同支付方式</w:t>
            </w:r>
          </w:p>
        </w:tc>
        <w:tc>
          <w:tcPr>
            <w:tcW w:type="dxa" w:w="2076"/>
          </w:tcPr>
          <w:p>
            <w:pPr>
              <w:pStyle w:val="null3"/>
              <w:jc w:val="left"/>
            </w:pPr>
            <w:r>
              <w:rPr/>
              <w:t>1、因系统原因，合同支付方式以本章“三、商务要求”第7点“其他”中的表述为准，达到付款条件起10日内，支付合同总金额的100.00%</w:t>
            </w:r>
          </w:p>
        </w:tc>
      </w:tr>
      <w:tr>
        <w:tc>
          <w:tcPr>
            <w:tcW w:type="dxa" w:w="2076"/>
          </w:tcPr>
          <w:p>
            <w:pPr>
              <w:pStyle w:val="null3"/>
              <w:jc w:val="left"/>
            </w:pPr>
            <w:r>
              <w:rPr/>
              <w:t>7</w:t>
            </w:r>
          </w:p>
        </w:tc>
        <w:tc>
          <w:tcPr>
            <w:tcW w:type="dxa" w:w="2076"/>
          </w:tcPr>
          <w:p/>
        </w:tc>
        <w:tc>
          <w:tcPr>
            <w:tcW w:type="dxa" w:w="2076"/>
          </w:tcPr>
          <w:p>
            <w:pPr>
              <w:pStyle w:val="null3"/>
              <w:jc w:val="left"/>
            </w:pPr>
            <w:r>
              <w:rPr/>
              <w:t>履约保证金</w:t>
            </w:r>
          </w:p>
        </w:tc>
        <w:tc>
          <w:tcPr>
            <w:tcW w:type="dxa" w:w="2076"/>
          </w:tcPr>
          <w:p>
            <w:pPr>
              <w:pStyle w:val="null3"/>
              <w:jc w:val="left"/>
            </w:pPr>
            <w:r>
              <w:rPr/>
              <w:t>不缴纳</w:t>
            </w:r>
          </w:p>
        </w:tc>
      </w:tr>
      <w:tr>
        <w:tc>
          <w:tcPr>
            <w:tcW w:type="dxa" w:w="2076"/>
          </w:tcPr>
          <w:p>
            <w:pPr>
              <w:pStyle w:val="null3"/>
              <w:jc w:val="left"/>
            </w:pPr>
            <w:r>
              <w:rPr/>
              <w:t>8</w:t>
            </w:r>
          </w:p>
        </w:tc>
        <w:tc>
          <w:tcPr>
            <w:tcW w:type="dxa" w:w="2076"/>
          </w:tcPr>
          <w:p/>
        </w:tc>
        <w:tc>
          <w:tcPr>
            <w:tcW w:type="dxa" w:w="2076"/>
          </w:tcPr>
          <w:p>
            <w:pPr>
              <w:pStyle w:val="null3"/>
              <w:jc w:val="left"/>
            </w:pPr>
            <w:r>
              <w:rPr/>
              <w:t>其他</w:t>
            </w:r>
          </w:p>
        </w:tc>
        <w:tc>
          <w:tcPr>
            <w:tcW w:type="dxa" w:w="2076"/>
          </w:tcPr>
          <w:p>
            <w:pPr>
              <w:pStyle w:val="null3"/>
              <w:jc w:val="left"/>
            </w:pPr>
            <w:r>
              <w:rPr/>
              <w:t>1.合同周期满后按以下约定结算：（1）云资源的单项使用费按照实际发生的使用量*中标单价进行结算；（2）如采购人实际使用资源超过租用资源总量，可追加超额实际资源使用费，但最多追加费用不超过云资源租用原采购合同总金额的10%；（3）如果服务期满，云资源按实结算的使用费用未达到合同总金额，可延长云资源服务期限，最长不超过6个月，所产生的服务费用按照实际发生的使用量*中标单价进行结算。 2.合同付款方式：（1）每年度服务期开始后，中标人提供等额发票及付款申请后10个日历日内，采购人支付本年度合同总金额的50%；（2）合同周期满完成考核、项目验收合格后，中标人提供等额发票后10个日历日内，根据考核结果支付本项目年度剩余服务费用，实际结算金额按照云资源实际使用情况据实核算。考核分数≥90分的，支付年度剩余服务费用（年度剩余服务费用=服务期内年度云资源实际使用费用-年度已支付费用）100%；90分&gt;考核分数≥60分，支付年度剩余服务费用的90%；考核分数&lt;60分，支付年度剩余服务费用的80%。 3.特别说明：若因财政资金拨付未能及时到位，采购人将在付款上根据资金到位情况相应顺延，请投标人在投标文件中自行考虑该事项的影响。</w:t>
            </w:r>
          </w:p>
        </w:tc>
      </w:tr>
    </w:tbl>
    <w:p>
      <w:pPr>
        <w:pStyle w:val="null3"/>
        <w:jc w:val="left"/>
      </w:pPr>
      <w:r>
        <w:rPr/>
        <w:t>其他商务要求</w:t>
      </w:r>
    </w:p>
    <w:p>
      <w:pPr>
        <w:pStyle w:val="null3"/>
        <w:ind w:firstLine="480"/>
        <w:jc w:val="left"/>
      </w:pPr>
      <w:r>
        <w:rPr>
          <w:rFonts w:ascii="宋体" w:hAnsi="宋体" w:cs="宋体" w:eastAsia="宋体"/>
          <w:sz w:val="20"/>
          <w:b/>
          <w:color w:val="FF0000"/>
        </w:rPr>
        <w:t>注：</w:t>
      </w:r>
      <w:r>
        <w:rPr>
          <w:rFonts w:ascii="宋体" w:hAnsi="宋体" w:cs="宋体" w:eastAsia="宋体"/>
          <w:sz w:val="20"/>
          <w:b/>
          <w:color w:val="FF0000"/>
        </w:rPr>
        <w:t>“三、商务要求”的全部内容均为“以“★”标示的内容”，即“均为不允许负偏离的实质性要求”。</w:t>
      </w:r>
    </w:p>
    <w:p>
      <w:pPr>
        <w:pStyle w:val="null3"/>
        <w:jc w:val="both"/>
        <w:outlineLvl w:val="2"/>
      </w:pPr>
      <w:r>
        <w:rPr>
          <w:sz w:val="28"/>
          <w:b/>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投标人在填报《中小企业声明函》时，其从业人员数应包括在岗职工、劳务派遣人员及其他从业人员。</w:t>
      </w:r>
    </w:p>
    <w:p>
      <w:pPr>
        <w:pStyle w:val="null3"/>
      </w:pPr>
      <w:r>
        <w:rPr/>
        <w:t xml:space="preserve"> </w:t>
        <w:br/>
        <w:br w:type="page"/>
      </w:r>
    </w:p>
    <w:p>
      <w:pPr>
        <w:pStyle w:val="null3"/>
        <w:jc w:val="center"/>
        <w:outlineLvl w:val="1"/>
      </w:pPr>
      <w:r>
        <w:rPr>
          <w:sz w:val="36"/>
          <w:b/>
        </w:rPr>
        <w:t>第六章 政府采购合同</w:t>
      </w:r>
    </w:p>
    <w:p>
      <w:pPr>
        <w:pStyle w:val="null3"/>
        <w:jc w:val="center"/>
        <w:outlineLvl w:val="2"/>
      </w:pPr>
      <w:r>
        <w:rPr>
          <w:sz w:val="28"/>
          <w:b/>
        </w:rPr>
        <w:t>参考文本</w:t>
      </w:r>
    </w:p>
    <w:p>
      <w:pPr>
        <w:pStyle w:val="null3"/>
        <w:jc w:val="left"/>
      </w:pPr>
      <w:r>
        <w:rPr/>
        <w:t>合同编号：</w:t>
      </w:r>
    </w:p>
    <w:p>
      <w:pPr>
        <w:pStyle w:val="null3"/>
        <w:jc w:val="center"/>
        <w:outlineLvl w:val="1"/>
      </w:pPr>
      <w:r>
        <w:rPr>
          <w:sz w:val="36"/>
          <w:b/>
        </w:rPr>
        <w:t xml:space="preserve"> 福建省政府采购合同（服务类）</w:t>
      </w:r>
    </w:p>
    <w:p>
      <w:pPr>
        <w:pStyle w:val="null3"/>
        <w:jc w:val="center"/>
        <w:outlineLvl w:val="3"/>
      </w:pPr>
      <w:r>
        <w:rPr>
          <w:sz w:val="24"/>
          <w:b/>
        </w:rPr>
        <w:t>编制说明</w:t>
      </w:r>
      <w:r>
        <w:br/>
      </w:r>
    </w:p>
    <w:p>
      <w:pPr>
        <w:pStyle w:val="null3"/>
        <w:jc w:val="left"/>
        <w:outlineLvl w:val="3"/>
      </w:pPr>
      <w:r>
        <w:rPr>
          <w:sz w:val="24"/>
          <w:b/>
        </w:rPr>
        <w:t xml:space="preserve"> 1.签订合同应遵守《中华人民共和国政府采购法》及其实施条例、《中华人民共和国民法典》等法律法规及其他有关规定。</w:t>
      </w:r>
    </w:p>
    <w:p>
      <w:pPr>
        <w:pStyle w:val="null3"/>
        <w:jc w:val="left"/>
        <w:outlineLvl w:val="3"/>
      </w:pPr>
      <w:r>
        <w:rPr>
          <w:sz w:val="24"/>
          <w:b/>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sz w:val="24"/>
          <w:b/>
        </w:rPr>
        <w:t xml:space="preserve"> 3.政府有关主管部门对若干合同有规范文本的，可使用相应合同文本。</w:t>
      </w:r>
    </w:p>
    <w:p>
      <w:pPr>
        <w:pStyle w:val="null3"/>
        <w:jc w:val="left"/>
        <w:outlineLvl w:val="3"/>
      </w:pPr>
      <w:r>
        <w:rPr>
          <w:sz w:val="24"/>
          <w:b/>
        </w:rPr>
        <w:t xml:space="preserve"> 4.本合同范本仅供参考，采购人应当根据采购项目的实际需求对合同条款进行修改、补充。</w:t>
      </w:r>
    </w:p>
    <w:p>
      <w:pPr>
        <w:pStyle w:val="null3"/>
        <w:ind w:left="0"/>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r>
        <w:rPr/>
        <w:t xml:space="preserve"> 乙方： </w:t>
      </w:r>
      <w:r>
        <w:rPr/>
        <w:t>________________</w:t>
      </w:r>
    </w:p>
    <w:p>
      <w:pPr>
        <w:pStyle w:val="null3"/>
        <w:jc w:val="left"/>
      </w:pPr>
      <w:r>
        <w:rPr/>
        <w:t xml:space="preserve"> 住所地： </w:t>
      </w:r>
      <w:r>
        <w:rPr/>
        <w:t>________________</w:t>
      </w:r>
    </w:p>
    <w:p>
      <w:pPr>
        <w:pStyle w:val="null3"/>
        <w:jc w:val="left"/>
      </w:pPr>
      <w:r>
        <w:rPr/>
        <w:t xml:space="preserve"> 联系人：</w:t>
      </w:r>
      <w:r>
        <w:rPr/>
        <w:t>______________</w:t>
      </w:r>
    </w:p>
    <w:p>
      <w:pPr>
        <w:pStyle w:val="null3"/>
        <w:jc w:val="left"/>
      </w:pPr>
      <w:r>
        <w:rPr/>
        <w:t xml:space="preserve"> 联系电话：</w:t>
      </w:r>
      <w:r>
        <w:rPr/>
        <w:t>______________</w:t>
      </w:r>
    </w:p>
    <w:p>
      <w:pPr>
        <w:pStyle w:val="null3"/>
        <w:jc w:val="left"/>
      </w:pPr>
      <w:r>
        <w:rPr/>
        <w:t xml:space="preserve"> 传真：</w:t>
      </w:r>
      <w:r>
        <w:rPr/>
        <w:t>________________</w:t>
      </w:r>
    </w:p>
    <w:p>
      <w:pPr>
        <w:pStyle w:val="null3"/>
        <w:jc w:val="left"/>
      </w:pPr>
      <w:r>
        <w:rPr/>
        <w:t xml:space="preserve"> 电子邮箱：</w:t>
      </w:r>
      <w:r>
        <w:rPr/>
        <w:t>________________</w:t>
      </w:r>
    </w:p>
    <w:p>
      <w:pPr>
        <w:pStyle w:val="null3"/>
        <w:jc w:val="left"/>
      </w:pPr>
      <w:r>
        <w:rPr/>
        <w:t>根据项目编号为</w:t>
      </w:r>
      <w:r>
        <w:rPr/>
        <w:t>___________</w:t>
      </w:r>
      <w:r>
        <w:rPr/>
        <w:t xml:space="preserve"> 的 </w:t>
      </w:r>
      <w:r>
        <w:rPr/>
        <w:t>__________</w:t>
      </w:r>
      <w:r>
        <w:rPr/>
        <w:t>项目（以下简称：“本项目”）的采购结果，遵循平等、自愿、公平和诚实信用的原则，双方签署本合同，具体内容如下：</w:t>
      </w:r>
    </w:p>
    <w:p>
      <w:pPr>
        <w:pStyle w:val="null3"/>
        <w:jc w:val="left"/>
        <w:outlineLvl w:val="3"/>
      </w:pPr>
      <w:r>
        <w:rPr>
          <w:sz w:val="24"/>
          <w:b/>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sz w:val="24"/>
          <w:b/>
        </w:rPr>
        <w:t xml:space="preserve"> 二、合同标的</w:t>
      </w:r>
      <w:r>
        <w:br/>
      </w:r>
    </w:p>
    <w:p>
      <w:pPr>
        <w:pStyle w:val="null3"/>
        <w:jc w:val="left"/>
        <w:outlineLvl w:val="3"/>
      </w:pPr>
      <w:r>
        <w:rPr>
          <w:sz w:val="24"/>
          <w:b/>
        </w:rPr>
        <w:t xml:space="preserve"> 三、价格形式及合同价款</w:t>
      </w:r>
    </w:p>
    <w:p>
      <w:pPr>
        <w:pStyle w:val="null3"/>
        <w:jc w:val="left"/>
        <w:outlineLvl w:val="4"/>
      </w:pPr>
      <w:r>
        <w:rPr>
          <w:sz w:val="20"/>
          <w:b/>
        </w:rPr>
        <w:t xml:space="preserve"> 3.1价格形式</w:t>
      </w:r>
    </w:p>
    <w:p>
      <w:pPr>
        <w:pStyle w:val="null3"/>
        <w:jc w:val="left"/>
      </w:pPr>
      <w:r>
        <w:rPr/>
        <w:t xml:space="preserve"> 固定单价合同。完成约定服务事项的含税合同单价为：人民币（大写）元（￥</w:t>
      </w:r>
      <w:r>
        <w:rPr/>
        <w:t xml:space="preserve"> _____________</w:t>
      </w:r>
      <w:r>
        <w:rPr/>
        <w:t>元）。</w:t>
      </w:r>
    </w:p>
    <w:p>
      <w:pPr>
        <w:pStyle w:val="null3"/>
        <w:spacing w:lineRule="auto" w:line="300"/>
        <w:jc w:val="left"/>
      </w:pPr>
      <w:r>
        <w:rPr/>
        <w:t xml:space="preserve"> 固定总价合同。完成约定服务事项的含税服务费用为：人民币（大写）元（￥</w:t>
      </w:r>
      <w:r>
        <w:rPr/>
        <w:t xml:space="preserve">_____________ </w:t>
      </w:r>
      <w:r>
        <w:rPr/>
        <w:t>元）。</w:t>
      </w:r>
    </w:p>
    <w:p>
      <w:pPr>
        <w:pStyle w:val="null3"/>
        <w:spacing w:lineRule="auto" w:line="300"/>
        <w:jc w:val="left"/>
      </w:pPr>
      <w:r>
        <w:rPr/>
        <w:t xml:space="preserve"> 其他方式。</w:t>
      </w:r>
    </w:p>
    <w:p>
      <w:pPr>
        <w:pStyle w:val="null3"/>
        <w:spacing w:lineRule="auto" w:line="300"/>
        <w:jc w:val="left"/>
        <w:outlineLvl w:val="4"/>
      </w:pPr>
      <w:r>
        <w:rPr>
          <w:sz w:val="20"/>
          <w:b/>
        </w:rPr>
        <w:t xml:space="preserve"> 3.2合同价款包含范围</w:t>
      </w:r>
    </w:p>
    <w:p>
      <w:pPr>
        <w:pStyle w:val="null3"/>
        <w:jc w:val="left"/>
        <w:outlineLvl w:val="4"/>
      </w:pPr>
      <w:r>
        <w:rPr>
          <w:sz w:val="20"/>
          <w:b/>
        </w:rPr>
        <w:t xml:space="preserve"> 3.3其他需说明的事项：</w:t>
      </w:r>
    </w:p>
    <w:p>
      <w:pPr>
        <w:pStyle w:val="null3"/>
        <w:jc w:val="left"/>
        <w:outlineLvl w:val="3"/>
      </w:pPr>
      <w:r>
        <w:rPr>
          <w:sz w:val="24"/>
          <w:b/>
        </w:rPr>
        <w:t xml:space="preserve"> 四、合同标的及服务范围、地点和时间</w:t>
      </w:r>
    </w:p>
    <w:p>
      <w:pPr>
        <w:pStyle w:val="null3"/>
        <w:jc w:val="left"/>
      </w:pPr>
      <w:r>
        <w:rPr/>
        <w:t xml:space="preserve"> 4.1项目名称： </w:t>
      </w:r>
      <w:r>
        <w:rPr/>
        <w:t>_____________</w:t>
      </w:r>
    </w:p>
    <w:p>
      <w:pPr>
        <w:pStyle w:val="null3"/>
        <w:jc w:val="left"/>
      </w:pPr>
      <w:r>
        <w:rPr/>
        <w:t xml:space="preserve"> 4.2服务范围：</w:t>
      </w:r>
      <w:r>
        <w:rPr/>
        <w:t>_____________</w:t>
      </w:r>
    </w:p>
    <w:p>
      <w:pPr>
        <w:pStyle w:val="null3"/>
        <w:jc w:val="left"/>
      </w:pPr>
      <w:r>
        <w:rPr/>
        <w:t xml:space="preserve"> 4.3服务地点：</w:t>
      </w:r>
      <w:r>
        <w:rPr/>
        <w:t>_____________</w:t>
      </w:r>
    </w:p>
    <w:p>
      <w:pPr>
        <w:pStyle w:val="null3"/>
        <w:jc w:val="left"/>
      </w:pPr>
      <w:r>
        <w:rPr/>
        <w:t xml:space="preserve"> 4.4服务完成时间：</w:t>
      </w:r>
      <w:r>
        <w:rPr/>
        <w:t>_____________</w:t>
      </w:r>
    </w:p>
    <w:p>
      <w:pPr>
        <w:pStyle w:val="null3"/>
        <w:jc w:val="left"/>
        <w:outlineLvl w:val="3"/>
      </w:pPr>
      <w:r>
        <w:rPr>
          <w:sz w:val="24"/>
          <w:b/>
        </w:rPr>
        <w:t xml:space="preserve"> 五、服务内容、质量标准和要求</w:t>
      </w:r>
    </w:p>
    <w:p>
      <w:pPr>
        <w:pStyle w:val="null3"/>
        <w:jc w:val="left"/>
      </w:pPr>
      <w:r>
        <w:rPr/>
        <w:t xml:space="preserve"> 5.1服务工作量的计量方式：</w:t>
      </w:r>
      <w:r>
        <w:rPr/>
        <w:t>_____________</w:t>
      </w:r>
    </w:p>
    <w:p>
      <w:pPr>
        <w:pStyle w:val="null3"/>
        <w:jc w:val="left"/>
      </w:pPr>
      <w:r>
        <w:rPr/>
        <w:t xml:space="preserve"> 5.2服务内容：_____________</w:t>
      </w:r>
    </w:p>
    <w:p>
      <w:pPr>
        <w:pStyle w:val="null3"/>
        <w:jc w:val="left"/>
      </w:pPr>
      <w:r>
        <w:rPr/>
        <w:t xml:space="preserve"> 5.3技术保障、服务人员组成、所涉及的货物的质量标准：</w:t>
      </w:r>
    </w:p>
    <w:p>
      <w:pPr>
        <w:pStyle w:val="null3"/>
        <w:jc w:val="left"/>
      </w:pPr>
      <w:r>
        <w:rPr/>
        <w:t xml:space="preserve"> （1）服务技术保障：_____________</w:t>
      </w:r>
    </w:p>
    <w:p>
      <w:pPr>
        <w:pStyle w:val="null3"/>
        <w:jc w:val="left"/>
      </w:pPr>
      <w:r>
        <w:rPr/>
        <w:t xml:space="preserve"> （2）服务人员组成：_____________</w:t>
      </w:r>
    </w:p>
    <w:p>
      <w:pPr>
        <w:pStyle w:val="null3"/>
        <w:jc w:val="left"/>
      </w:pPr>
      <w:r>
        <w:rPr/>
        <w:t xml:space="preserve"> （3）服务设备及物资投入及质量标准：_____________</w:t>
      </w:r>
    </w:p>
    <w:p>
      <w:pPr>
        <w:pStyle w:val="null3"/>
        <w:jc w:val="left"/>
      </w:pPr>
      <w:r>
        <w:rPr/>
        <w:t xml:space="preserve"> 5.4服务质量标准及要求：</w:t>
      </w:r>
    </w:p>
    <w:p>
      <w:pPr>
        <w:pStyle w:val="null3"/>
        <w:jc w:val="left"/>
      </w:pPr>
      <w:r>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 xml:space="preserve"> 5.4.3其他要求：</w:t>
      </w:r>
    </w:p>
    <w:p>
      <w:pPr>
        <w:pStyle w:val="null3"/>
        <w:jc w:val="left"/>
        <w:outlineLvl w:val="3"/>
      </w:pPr>
      <w:r>
        <w:rPr>
          <w:sz w:val="24"/>
          <w:b/>
        </w:rPr>
        <w:t xml:space="preserve"> 六、服务履约验收或考核</w:t>
      </w:r>
    </w:p>
    <w:p>
      <w:pPr>
        <w:pStyle w:val="null3"/>
        <w:jc w:val="left"/>
      </w:pPr>
      <w:r>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sz w:val="24"/>
          <w:b/>
        </w:rPr>
        <w:t xml:space="preserve"> 七、甲方的权利与义务</w:t>
      </w:r>
    </w:p>
    <w:p>
      <w:pPr>
        <w:pStyle w:val="null3"/>
        <w:jc w:val="left"/>
      </w:pPr>
      <w:r>
        <w:rPr/>
        <w:t xml:space="preserve"> 7.1甲方委派</w:t>
      </w:r>
      <w:r>
        <w:rPr/>
        <w:t>___________</w:t>
      </w:r>
      <w:r>
        <w:rPr/>
        <w:t xml:space="preserve">为联系人，联系方式 </w:t>
      </w:r>
      <w:r>
        <w:rPr/>
        <w:t>___________</w:t>
      </w:r>
      <w:r>
        <w:rPr/>
        <w:t>，负责与乙方联系。如甲方联系人发生变更，甲方应书面告知乙方。</w:t>
      </w:r>
    </w:p>
    <w:p>
      <w:pPr>
        <w:pStyle w:val="null3"/>
        <w:jc w:val="left"/>
      </w:pPr>
      <w:r>
        <w:rPr/>
        <w:t xml:space="preserve"> 7.2甲方应为乙方开展服务工作提供必要的工作条件，以及对内对外沟通和配合协助。</w:t>
      </w:r>
    </w:p>
    <w:p>
      <w:pPr>
        <w:pStyle w:val="null3"/>
        <w:jc w:val="left"/>
      </w:pPr>
      <w:r>
        <w:rPr/>
        <w:t xml:space="preserve"> 7.3甲方应于</w:t>
      </w:r>
      <w:r>
        <w:rPr/>
        <w:t>___________</w:t>
      </w:r>
      <w:r>
        <w:rPr/>
        <w:t>之前提供服务所需的全部资料，并对所提供材料真实性、完整性、合法性负责。</w:t>
      </w:r>
    </w:p>
    <w:p>
      <w:pPr>
        <w:pStyle w:val="null3"/>
        <w:jc w:val="left"/>
      </w:pPr>
      <w:r>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 xml:space="preserve"> 7.5甲方应按本合同约定及时足额支付服务费用及相关费用。</w:t>
      </w:r>
    </w:p>
    <w:p>
      <w:pPr>
        <w:pStyle w:val="null3"/>
        <w:jc w:val="left"/>
      </w:pPr>
      <w:r>
        <w:rPr/>
        <w:t xml:space="preserve"> 7.6其他</w:t>
      </w:r>
    </w:p>
    <w:p>
      <w:pPr>
        <w:pStyle w:val="null3"/>
        <w:jc w:val="left"/>
        <w:outlineLvl w:val="3"/>
      </w:pPr>
      <w:r>
        <w:rPr>
          <w:sz w:val="24"/>
          <w:b/>
        </w:rPr>
        <w:t xml:space="preserve"> 八、乙方的权利与义务</w:t>
      </w:r>
    </w:p>
    <w:p>
      <w:pPr>
        <w:pStyle w:val="null3"/>
        <w:jc w:val="left"/>
      </w:pPr>
      <w:r>
        <w:rPr/>
        <w:t>8.1乙方委派</w:t>
      </w:r>
      <w:r>
        <w:rPr/>
        <w:t>___________</w:t>
      </w:r>
      <w:r>
        <w:rPr/>
        <w:t xml:space="preserve">为联系人，联系方式 </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8.3乙方及其所委派服务人员应按标准或协议约定方式出具服务成果，并对其真实性和合法性负法律责任；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8.7乙方完全遵守《中华人民共和国劳动合同法》有关规定和《中华人民共和国妇女权益保障法》中关于“劳动和社会保障权益”的有关要求。</w:t>
      </w:r>
    </w:p>
    <w:p>
      <w:pPr>
        <w:pStyle w:val="null3"/>
        <w:jc w:val="left"/>
      </w:pPr>
      <w:r>
        <w:rPr/>
        <w:t>8.8其他</w:t>
      </w:r>
    </w:p>
    <w:p>
      <w:pPr>
        <w:pStyle w:val="null3"/>
        <w:jc w:val="left"/>
        <w:outlineLvl w:val="3"/>
      </w:pPr>
      <w:r>
        <w:rPr>
          <w:sz w:val="24"/>
          <w:b/>
        </w:rPr>
        <w:t xml:space="preserve"> 九、资金支付方式、时间和条件</w:t>
      </w:r>
      <w:r>
        <w:br/>
      </w:r>
    </w:p>
    <w:p>
      <w:pPr>
        <w:pStyle w:val="null3"/>
        <w:jc w:val="left"/>
        <w:outlineLvl w:val="3"/>
      </w:pPr>
      <w:r>
        <w:rPr>
          <w:sz w:val="24"/>
          <w:b/>
        </w:rPr>
        <w:t xml:space="preserve"> 十、履约保证金</w:t>
      </w:r>
    </w:p>
    <w:p>
      <w:pPr>
        <w:pStyle w:val="null3"/>
        <w:jc w:val="left"/>
      </w:pPr>
      <w:r>
        <w:rPr/>
        <w:t xml:space="preserve"> □有，□无。具体如下：（按照采购文件规定填写）。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sz w:val="24"/>
          <w:b/>
        </w:rPr>
        <w:t xml:space="preserve"> 十一、合同期限</w:t>
      </w:r>
      <w:r>
        <w:br/>
      </w:r>
    </w:p>
    <w:p>
      <w:pPr>
        <w:pStyle w:val="null3"/>
        <w:jc w:val="left"/>
        <w:outlineLvl w:val="3"/>
      </w:pPr>
      <w:r>
        <w:rPr>
          <w:sz w:val="24"/>
          <w:b/>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sz w:val="24"/>
          <w:b/>
        </w:rPr>
        <w:t xml:space="preserve"> 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sz w:val="24"/>
          <w:b/>
        </w:rPr>
        <w:t xml:space="preserve"> 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sz w:val="24"/>
          <w:b/>
        </w:rPr>
        <w:t xml:space="preserve"> 十五、解决争议的方法</w:t>
      </w:r>
    </w:p>
    <w:p>
      <w:pPr>
        <w:pStyle w:val="null3"/>
        <w:jc w:val="left"/>
      </w:pPr>
      <w:r>
        <w:rPr/>
        <w:t>15.1甲、乙双方协商解决。</w:t>
      </w:r>
    </w:p>
    <w:p>
      <w:pPr>
        <w:pStyle w:val="null3"/>
        <w:jc w:val="left"/>
      </w:pPr>
      <w:r>
        <w:rPr/>
        <w:t>15.2若协商解决不成，双方明确按以下第_种方式解决：</w:t>
      </w:r>
    </w:p>
    <w:p>
      <w:pPr>
        <w:pStyle w:val="null3"/>
        <w:jc w:val="left"/>
      </w:pPr>
      <w:r>
        <w:rPr/>
        <w:t xml:space="preserve"> 1、提交仲裁委员会仲裁，具体如下：</w:t>
      </w:r>
    </w:p>
    <w:p>
      <w:pPr>
        <w:pStyle w:val="null3"/>
        <w:spacing w:lineRule="auto" w:line="300"/>
        <w:jc w:val="left"/>
      </w:pPr>
      <w:r>
        <w:rPr/>
        <w:t xml:space="preserve"> 2、向人民法院提起诉讼。</w:t>
      </w:r>
    </w:p>
    <w:p>
      <w:pPr>
        <w:pStyle w:val="null3"/>
        <w:jc w:val="left"/>
        <w:outlineLvl w:val="3"/>
      </w:pPr>
      <w:r>
        <w:rPr>
          <w:sz w:val="24"/>
          <w:b/>
        </w:rPr>
        <w:t xml:space="preserve"> 十六、合同其他条款</w:t>
      </w:r>
      <w:r>
        <w:br/>
      </w:r>
    </w:p>
    <w:p>
      <w:pPr>
        <w:pStyle w:val="null3"/>
        <w:jc w:val="left"/>
        <w:outlineLvl w:val="3"/>
      </w:pPr>
      <w:r>
        <w:rPr>
          <w:sz w:val="24"/>
          <w:b/>
        </w:rPr>
        <w:t xml:space="preserve"> 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，甲方应及时将资金支付到本合同乙方账号。</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sz w:val="24"/>
          <w:b/>
        </w:rPr>
        <w:t xml:space="preserve"> 十八、合同附件</w:t>
      </w:r>
      <w:r>
        <w:br/>
      </w:r>
      <w:r>
        <w:br/>
      </w: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签订地点：</w:t>
      </w:r>
      <w:r>
        <w:rPr/>
        <w:t>_____________</w:t>
      </w:r>
    </w:p>
    <w:p>
      <w:pPr>
        <w:pStyle w:val="null3"/>
        <w:jc w:val="left"/>
      </w:pPr>
      <w:r>
        <w:rPr/>
        <w:t>签订日期：</w:t>
      </w:r>
      <w:r>
        <w:rPr/>
        <w:t>____年___月___日</w:t>
      </w:r>
    </w:p>
    <w:p>
      <w:pPr>
        <w:pStyle w:val="null3"/>
      </w:pPr>
      <w:r>
        <w:rPr/>
        <w:t xml:space="preserve"> </w:t>
        <w:br/>
        <w:br w:type="page"/>
      </w:r>
    </w:p>
    <w:p>
      <w:pPr>
        <w:pStyle w:val="null3"/>
        <w:jc w:val="center"/>
        <w:outlineLvl w:val="1"/>
      </w:pPr>
      <w:r>
        <w:rPr>
          <w:sz w:val="36"/>
          <w:b/>
        </w:rPr>
        <w:t>第七章 电子投标文件格式</w:t>
      </w:r>
    </w:p>
    <w:p>
      <w:pPr>
        <w:pStyle w:val="null3"/>
        <w:jc w:val="center"/>
        <w:outlineLvl w:val="2"/>
      </w:pPr>
      <w:r>
        <w:rPr>
          <w:sz w:val="28"/>
          <w:b/>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sz w:val="28"/>
          <w:b/>
        </w:rPr>
        <w:t>封面格式(资格及资信证明部分)</w:t>
      </w:r>
    </w:p>
    <w:p>
      <w:pPr>
        <w:pStyle w:val="null3"/>
        <w:jc w:val="center"/>
        <w:outlineLvl w:val="0"/>
      </w:pPr>
      <w:r>
        <w:rPr>
          <w:sz w:val="48"/>
          <w:b/>
        </w:rPr>
        <w:t>福建省政府采购投标文件</w:t>
      </w:r>
    </w:p>
    <w:p>
      <w:pPr>
        <w:pStyle w:val="null3"/>
        <w:jc w:val="center"/>
        <w:outlineLvl w:val="0"/>
      </w:pPr>
      <w:r>
        <w:rPr>
          <w:sz w:val="48"/>
          <w:b/>
        </w:rPr>
        <w:t>（资格及资信证明部分）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sz w:val="28"/>
          <w:b/>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①开标一览表</w:t>
      </w:r>
    </w:p>
    <w:p>
      <w:pPr>
        <w:pStyle w:val="null3"/>
        <w:ind w:firstLine="480"/>
        <w:jc w:val="left"/>
      </w:pPr>
      <w:r>
        <w:rPr/>
        <w:t>②投标分项报价表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1.1所投采购包的投标报价详见“开标一览表”及“投标分项报价表”。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 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 xml:space="preserve">通信地址：                                        </w:t>
      </w:r>
    </w:p>
    <w:p>
      <w:pPr>
        <w:pStyle w:val="null3"/>
        <w:ind w:firstLine="480"/>
        <w:jc w:val="left"/>
      </w:pPr>
      <w:r>
        <w:rPr/>
        <w:t xml:space="preserve">邮编：                                           </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sz w:val="28"/>
          <w:b/>
        </w:rPr>
        <w:t>二、投标人的资格及资信证明文件</w:t>
      </w:r>
    </w:p>
    <w:p>
      <w:pPr>
        <w:pStyle w:val="null3"/>
        <w:ind w:firstLine="960"/>
        <w:jc w:val="center"/>
        <w:outlineLvl w:val="3"/>
      </w:pPr>
      <w:r>
        <w:rPr>
          <w:sz w:val="24"/>
          <w:b/>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ind w:firstLine="960"/>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ind w:firstLine="960"/>
        <w:jc w:val="left"/>
      </w:pPr>
      <w:r>
        <w:rPr/>
        <w:t xml:space="preserve"> </w:t>
        <w:br/>
        <w:br w:type="page"/>
      </w:r>
    </w:p>
    <w:p>
      <w:pPr>
        <w:pStyle w:val="null3"/>
        <w:ind w:firstLine="960"/>
        <w:jc w:val="center"/>
        <w:outlineLvl w:val="3"/>
      </w:pPr>
      <w:r>
        <w:rPr>
          <w:sz w:val="24"/>
          <w:b/>
        </w:rPr>
        <w:t>二-2 证明材料</w:t>
      </w:r>
    </w:p>
    <w:p>
      <w:pPr>
        <w:pStyle w:val="null3"/>
        <w:ind w:firstLine="480"/>
        <w:jc w:val="left"/>
      </w:pPr>
      <w:r>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null3"/>
        <w:ind w:firstLine="960"/>
        <w:jc w:val="center"/>
        <w:outlineLvl w:val="3"/>
      </w:pPr>
      <w:r>
        <w:rPr>
          <w:sz w:val="24"/>
          <w:b/>
        </w:rPr>
        <w:t>二-2-1 福建省政府采购供应商资格承诺函</w:t>
      </w:r>
    </w:p>
    <w:p>
      <w:pPr>
        <w:pStyle w:val="null3"/>
        <w:ind w:firstLine="480"/>
        <w:jc w:val="left"/>
      </w:pPr>
      <w:r>
        <w:rPr/>
        <w:t>致：</w:t>
      </w:r>
      <w:r>
        <w:rPr>
          <w:u w:val="single"/>
        </w:rPr>
        <w:t>（采购人或采购代理机构）</w:t>
      </w:r>
    </w:p>
    <w:p>
      <w:pPr>
        <w:pStyle w:val="null3"/>
        <w:ind w:firstLine="960"/>
        <w:jc w:val="left"/>
      </w:pPr>
      <w:r>
        <w:rPr/>
        <w:t>单位名称(自然人姓名):</w:t>
      </w:r>
    </w:p>
    <w:p>
      <w:pPr>
        <w:pStyle w:val="null3"/>
        <w:ind w:firstLine="960"/>
        <w:jc w:val="left"/>
      </w:pPr>
      <w:r>
        <w:rPr/>
        <w:t>统一社会信用代码(自然人身份证号码):</w:t>
      </w:r>
    </w:p>
    <w:p>
      <w:pPr>
        <w:pStyle w:val="null3"/>
        <w:ind w:firstLine="960"/>
        <w:jc w:val="left"/>
      </w:pPr>
      <w:r>
        <w:rPr/>
        <w:t>法定代表人(负责人):</w:t>
      </w:r>
    </w:p>
    <w:p>
      <w:pPr>
        <w:pStyle w:val="null3"/>
        <w:ind w:firstLine="960"/>
        <w:jc w:val="left"/>
      </w:pPr>
      <w:r>
        <w:rPr/>
        <w:t>联系地址和电话:</w:t>
      </w:r>
    </w:p>
    <w:p>
      <w:pPr>
        <w:pStyle w:val="null3"/>
        <w:ind w:firstLine="480"/>
        <w:jc w:val="left"/>
      </w:pPr>
      <w:r>
        <w:rPr/>
        <w:t>我单位(本人)自愿参加本次政府采购活动，严格遵守《中华人民共和国政府采购法》及相关法律法规，坚守公开、公平公正和诚实信用等原则，依法诚信经营，并郑重承诺:</w:t>
      </w:r>
    </w:p>
    <w:p>
      <w:pPr>
        <w:pStyle w:val="null3"/>
        <w:ind w:firstLine="480"/>
        <w:jc w:val="left"/>
      </w:pPr>
      <w:r>
        <w:rPr/>
        <w:t>一、我单位(本人)具备采购文件要求以及《中华人民共和国政府采购法》第二十二条规定的条件:</w:t>
      </w:r>
    </w:p>
    <w:p>
      <w:pPr>
        <w:pStyle w:val="null3"/>
        <w:ind w:firstLine="960"/>
        <w:jc w:val="left"/>
      </w:pPr>
      <w:r>
        <w:rPr/>
        <w:t>1.具有独立承担民事责任的能力;</w:t>
      </w:r>
    </w:p>
    <w:p>
      <w:pPr>
        <w:pStyle w:val="null3"/>
        <w:ind w:firstLine="960"/>
        <w:jc w:val="left"/>
      </w:pPr>
      <w:r>
        <w:rPr/>
        <w:t>2.具有良好的商业信誉和健全的财务会计制度;</w:t>
      </w:r>
    </w:p>
    <w:p>
      <w:pPr>
        <w:pStyle w:val="null3"/>
        <w:ind w:firstLine="960"/>
        <w:jc w:val="left"/>
      </w:pPr>
      <w:r>
        <w:rPr/>
        <w:t>3.具有履行合同所必需的设备和专业技术能力;</w:t>
      </w:r>
    </w:p>
    <w:p>
      <w:pPr>
        <w:pStyle w:val="null3"/>
        <w:ind w:firstLine="960"/>
        <w:jc w:val="left"/>
      </w:pPr>
      <w:r>
        <w:rPr/>
        <w:t>4.有依法缴纳税收和社会保障资金的良好记录;</w:t>
      </w:r>
    </w:p>
    <w:p>
      <w:pPr>
        <w:pStyle w:val="null3"/>
        <w:ind w:firstLine="960"/>
        <w:jc w:val="left"/>
      </w:pPr>
      <w:r>
        <w:rPr/>
        <w:t>5.参加政府采购活动前三年内，在经营活动中没有重大违法记录；</w:t>
      </w:r>
    </w:p>
    <w:p>
      <w:pPr>
        <w:pStyle w:val="null3"/>
        <w:ind w:firstLine="960"/>
        <w:jc w:val="left"/>
      </w:pPr>
      <w:r>
        <w:rPr/>
        <w:t>6.法律、行政法规规定的其他条件。</w:t>
      </w:r>
    </w:p>
    <w:p>
      <w:pPr>
        <w:pStyle w:val="null3"/>
        <w:ind w:firstLine="480"/>
        <w:jc w:val="left"/>
      </w:pPr>
      <w:r>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null3"/>
        <w:ind w:firstLine="480"/>
        <w:jc w:val="left"/>
      </w:pPr>
      <w:r>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null3"/>
        <w:ind w:firstLine="480"/>
        <w:jc w:val="right"/>
      </w:pPr>
      <w:r>
        <w:rPr/>
        <w:t>供应商：</w:t>
      </w:r>
      <w:r>
        <w:rPr>
          <w:u w:val="single"/>
        </w:rPr>
        <w:t>名称(单位公章):</w:t>
      </w:r>
    </w:p>
    <w:p>
      <w:pPr>
        <w:pStyle w:val="null3"/>
        <w:ind w:firstLine="480"/>
        <w:jc w:val="right"/>
      </w:pPr>
      <w:r>
        <w:rPr/>
        <w:t>日期：</w:t>
      </w:r>
      <w:r>
        <w:rPr>
          <w:u w:val="single"/>
        </w:rPr>
        <w:t>　　年　　月　　日</w:t>
      </w:r>
    </w:p>
    <w:p>
      <w:pPr>
        <w:pStyle w:val="null3"/>
        <w:ind w:firstLine="480"/>
        <w:jc w:val="left"/>
      </w:pPr>
      <w:r>
        <w:rPr/>
        <w:t>注：</w:t>
      </w:r>
    </w:p>
    <w:p>
      <w:pPr>
        <w:pStyle w:val="null3"/>
        <w:ind w:firstLine="960"/>
        <w:jc w:val="left"/>
      </w:pPr>
      <w:r>
        <w:rPr/>
        <w:t>1.我单位(本人)专指参加政府采购活动的供应商(含自然人)；</w:t>
      </w:r>
    </w:p>
    <w:p>
      <w:pPr>
        <w:pStyle w:val="null3"/>
        <w:ind w:firstLine="960"/>
        <w:jc w:val="left"/>
      </w:pPr>
      <w:r>
        <w:rPr/>
        <w:t>2.资格承诺的供应商应在投标(响应)文件中按此模板提供承诺函，否则，视为未按照招标文件规定提交投标人的资格及资信文件，按资格审查不通过处理。</w:t>
      </w:r>
    </w:p>
    <w:p>
      <w:pPr>
        <w:pStyle w:val="null3"/>
        <w:ind w:firstLine="960"/>
        <w:jc w:val="left"/>
      </w:pPr>
      <w:r>
        <w:rPr/>
        <w:t xml:space="preserve"> </w:t>
        <w:br/>
        <w:br w:type="page"/>
      </w:r>
    </w:p>
    <w:p>
      <w:pPr>
        <w:pStyle w:val="null3"/>
        <w:ind w:firstLine="960"/>
        <w:jc w:val="center"/>
        <w:outlineLvl w:val="3"/>
      </w:pPr>
      <w:r>
        <w:rPr>
          <w:sz w:val="24"/>
          <w:b/>
        </w:rPr>
        <w:t>二-2-2 资格证明材料</w:t>
      </w:r>
    </w:p>
    <w:p>
      <w:pPr>
        <w:pStyle w:val="null3"/>
        <w:ind w:firstLine="960"/>
        <w:jc w:val="center"/>
        <w:outlineLvl w:val="3"/>
      </w:pPr>
      <w:r>
        <w:rPr>
          <w:sz w:val="24"/>
          <w:b/>
        </w:rPr>
        <w:t>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sz w:val="24"/>
          <w:b/>
        </w:rPr>
        <w:t>二-3信用记录查询提示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left"/>
      </w:pPr>
      <w:r>
        <w:rPr/>
        <w:t xml:space="preserve"> </w:t>
        <w:br/>
        <w:br w:type="page"/>
      </w:r>
    </w:p>
    <w:p>
      <w:pPr>
        <w:pStyle w:val="null3"/>
        <w:ind w:firstLine="960"/>
        <w:jc w:val="center"/>
        <w:outlineLvl w:val="3"/>
      </w:pPr>
      <w:r>
        <w:rPr>
          <w:sz w:val="24"/>
          <w:b/>
        </w:rPr>
        <w:t>二-4中小企业声明函</w:t>
      </w:r>
    </w:p>
    <w:p>
      <w:pPr>
        <w:pStyle w:val="null3"/>
        <w:ind w:firstLine="960"/>
        <w:jc w:val="center"/>
        <w:outlineLvl w:val="3"/>
      </w:pPr>
      <w:r>
        <w:rPr>
          <w:sz w:val="24"/>
          <w:b/>
        </w:rPr>
        <w:t>（以资格条件落实中小企业扶持政策时适用，若有）</w:t>
      </w:r>
    </w:p>
    <w:p>
      <w:pPr>
        <w:pStyle w:val="null3"/>
        <w:ind w:firstLine="960"/>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sz w:val="24"/>
          <w:b/>
        </w:rPr>
        <w:t>残疾人福利性单位声明函</w:t>
      </w:r>
    </w:p>
    <w:p>
      <w:pPr>
        <w:pStyle w:val="null3"/>
        <w:ind w:firstLine="960"/>
        <w:jc w:val="center"/>
        <w:outlineLvl w:val="3"/>
      </w:pPr>
      <w:r>
        <w:rPr>
          <w:sz w:val="24"/>
          <w:b/>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ind w:firstLine="960"/>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left"/>
      </w:pPr>
      <w:r>
        <w:rPr/>
        <w:t xml:space="preserve"> </w:t>
        <w:br/>
        <w:br w:type="page"/>
      </w:r>
    </w:p>
    <w:p>
      <w:pPr>
        <w:pStyle w:val="null3"/>
        <w:ind w:firstLine="960"/>
        <w:jc w:val="center"/>
        <w:outlineLvl w:val="3"/>
      </w:pPr>
      <w:r>
        <w:rPr>
          <w:sz w:val="24"/>
          <w:b/>
        </w:rPr>
        <w:t>二-5联合体协议（若有）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sz w:val="24"/>
          <w:b/>
        </w:rPr>
        <w:t>二-6分包意向协议（若有）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sz w:val="24"/>
          <w:b/>
        </w:rPr>
        <w:t>二-7其他资格证明文件（若有）</w:t>
      </w:r>
    </w:p>
    <w:p>
      <w:pPr>
        <w:pStyle w:val="null3"/>
        <w:ind w:firstLine="960"/>
        <w:jc w:val="center"/>
        <w:outlineLvl w:val="3"/>
      </w:pPr>
      <w:r>
        <w:rPr>
          <w:sz w:val="24"/>
          <w:b/>
        </w:rPr>
        <w:t>二-7-①招标文件规定的其他资格证明文件（若有）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sz w:val="28"/>
          <w:b/>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sz w:val="28"/>
          <w:b/>
        </w:rPr>
        <w:t>封面格式(报价部分)</w:t>
      </w:r>
    </w:p>
    <w:p>
      <w:pPr>
        <w:pStyle w:val="null3"/>
        <w:jc w:val="center"/>
        <w:outlineLvl w:val="0"/>
      </w:pPr>
      <w:r>
        <w:rPr>
          <w:sz w:val="48"/>
          <w:b/>
        </w:rPr>
        <w:t>福建省政府采购投标文件</w:t>
      </w:r>
    </w:p>
    <w:p>
      <w:pPr>
        <w:pStyle w:val="null3"/>
        <w:jc w:val="center"/>
        <w:outlineLvl w:val="0"/>
      </w:pPr>
      <w:r>
        <w:rPr>
          <w:sz w:val="48"/>
          <w:b/>
        </w:rPr>
        <w:t>（报价部分）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一、开标（报价）一览表</w:t>
      </w:r>
    </w:p>
    <w:p>
      <w:pPr>
        <w:pStyle w:val="null3"/>
        <w:ind w:firstLine="480"/>
        <w:jc w:val="left"/>
      </w:pPr>
      <w:r>
        <w:rPr/>
        <w:t>二、投标（响应）报价明细表</w:t>
      </w:r>
    </w:p>
    <w:p>
      <w:pPr>
        <w:pStyle w:val="null3"/>
        <w:ind w:firstLine="480"/>
        <w:jc w:val="left"/>
      </w:pPr>
      <w:r>
        <w:rPr/>
        <w:t>三、招标文件规定的价格扣除证明材料（若有）</w:t>
      </w:r>
    </w:p>
    <w:p>
      <w:pPr>
        <w:pStyle w:val="null3"/>
        <w:ind w:firstLine="480"/>
        <w:jc w:val="left"/>
      </w:pPr>
      <w:r>
        <w:rPr/>
        <w:t xml:space="preserve"> </w:t>
        <w:br/>
        <w:br w:type="page"/>
      </w:r>
    </w:p>
    <w:p>
      <w:pPr>
        <w:pStyle w:val="null3"/>
        <w:jc w:val="left"/>
        <w:outlineLvl w:val="0"/>
      </w:pPr>
      <w:r>
        <w:rPr>
          <w:sz w:val="48"/>
          <w:b/>
        </w:rPr>
        <w:t>开标（报价）一览表</w:t>
      </w:r>
    </w:p>
    <w:p>
      <w:pPr>
        <w:pStyle w:val="null3"/>
        <w:jc w:val="left"/>
      </w:pPr>
      <w:r>
        <w:rPr/>
        <w:t>公司名称：</w:t>
      </w:r>
    </w:p>
    <w:p>
      <w:pPr>
        <w:pStyle w:val="null3"/>
        <w:jc w:val="left"/>
      </w:pPr>
      <w:r>
        <w:rPr/>
        <w:t>包号：</w:t>
      </w:r>
      <w:r>
        <w:rPr/>
        <w:t>1</w:t>
      </w:r>
    </w:p>
    <w:p>
      <w:pPr>
        <w:pStyle w:val="null3"/>
        <w:jc w:val="left"/>
      </w:pPr>
      <w:r>
        <w:rPr/>
        <w:t>项目编号：</w:t>
      </w:r>
      <w:r>
        <w:rPr/>
        <w:t>[350001]FJGGZY[GK]2024071</w:t>
      </w:r>
    </w:p>
    <w:p>
      <w:pPr>
        <w:pStyle w:val="null3"/>
        <w:jc w:val="left"/>
      </w:pPr>
      <w:r>
        <w:rPr/>
        <w:t>项目名称：</w:t>
      </w:r>
      <w:r>
        <w:rPr/>
        <w:t>福建省交通信息通信与应急处置中心云资源租赁服务</w:t>
      </w:r>
    </w:p>
    <w:p>
      <w:pPr>
        <w:pStyle w:val="null3"/>
        <w:jc w:val="center"/>
      </w:pP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 xml:space="preserve"> 序号</w:t>
            </w:r>
          </w:p>
        </w:tc>
        <w:tc>
          <w:tcPr>
            <w:tcW w:type="dxa" w:w="1661"/>
          </w:tcPr>
          <w:p>
            <w:pPr>
              <w:pStyle w:val="null3"/>
              <w:jc w:val="left"/>
            </w:pPr>
            <w:r>
              <w:rPr/>
              <w:t xml:space="preserve"> 报价内容</w:t>
            </w:r>
          </w:p>
        </w:tc>
        <w:tc>
          <w:tcPr>
            <w:tcW w:type="dxa" w:w="1661"/>
          </w:tcPr>
          <w:p>
            <w:pPr>
              <w:pStyle w:val="null3"/>
              <w:jc w:val="left"/>
            </w:pPr>
            <w:r>
              <w:rPr/>
              <w:t xml:space="preserve"> 最高限价</w:t>
            </w:r>
          </w:p>
        </w:tc>
        <w:tc>
          <w:tcPr>
            <w:tcW w:type="dxa" w:w="1661"/>
          </w:tcPr>
          <w:p>
            <w:pPr>
              <w:pStyle w:val="null3"/>
              <w:jc w:val="left"/>
            </w:pPr>
            <w:r>
              <w:rPr/>
              <w:t xml:space="preserve"> 响应报价</w:t>
            </w:r>
          </w:p>
        </w:tc>
        <w:tc>
          <w:tcPr>
            <w:tcW w:type="dxa" w:w="1661"/>
          </w:tcPr>
          <w:p>
            <w:pPr>
              <w:pStyle w:val="null3"/>
              <w:jc w:val="left"/>
            </w:pPr>
            <w:r>
              <w:rPr/>
              <w:t xml:space="preserve"> 价款形式</w:t>
            </w:r>
          </w:p>
        </w:tc>
      </w:tr>
      <w:tr>
        <w:tc>
          <w:tcPr>
            <w:tcW w:type="dxa" w:w="1661"/>
          </w:tcPr>
          <w:p>
            <w:pPr>
              <w:pStyle w:val="null3"/>
              <w:jc w:val="left"/>
            </w:pPr>
            <w:r>
              <w:rPr/>
              <w:t xml:space="preserve"> 1</w:t>
            </w:r>
          </w:p>
        </w:tc>
        <w:tc>
          <w:tcPr>
            <w:tcW w:type="dxa" w:w="1661"/>
          </w:tcPr>
          <w:p>
            <w:pPr>
              <w:pStyle w:val="null3"/>
              <w:jc w:val="left"/>
            </w:pPr>
            <w:r>
              <w:rPr/>
              <w:t xml:space="preserve"> 云资源租赁服务</w:t>
            </w:r>
          </w:p>
        </w:tc>
        <w:tc>
          <w:tcPr>
            <w:tcW w:type="dxa" w:w="1661"/>
          </w:tcPr>
          <w:p>
            <w:pPr>
              <w:pStyle w:val="null3"/>
              <w:jc w:val="left"/>
            </w:pPr>
            <w:r>
              <w:rPr/>
              <w:t xml:space="preserve"> 8968221.3900 </w:t>
            </w:r>
            <w:r>
              <w:rPr/>
              <w:t xml:space="preserve"> 元</w:t>
            </w:r>
          </w:p>
        </w:tc>
        <w:tc>
          <w:tcPr>
            <w:tcW w:type="dxa" w:w="1661"/>
          </w:tcPr>
          <w:p>
            <w:pPr>
              <w:pStyle w:val="null3"/>
              <w:jc w:val="left"/>
            </w:pPr>
            <w:r>
              <w:rPr/>
              <w:t xml:space="preserve"> 「汇总引用」 </w:t>
            </w:r>
            <w:r>
              <w:rPr/>
              <w:t xml:space="preserve"> 元</w:t>
            </w:r>
          </w:p>
        </w:tc>
        <w:tc>
          <w:tcPr>
            <w:tcW w:type="dxa" w:w="1661"/>
          </w:tcPr>
          <w:p>
            <w:pPr>
              <w:pStyle w:val="null3"/>
              <w:jc w:val="left"/>
            </w:pPr>
            <w:r>
              <w:rPr/>
              <w:t xml:space="preserve"> 总价</w:t>
            </w:r>
          </w:p>
        </w:tc>
      </w:tr>
    </w:tbl>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jc w:val="left"/>
        <w:outlineLvl w:val="0"/>
      </w:pPr>
      <w:r>
        <w:rPr>
          <w:sz w:val="48"/>
          <w:b/>
        </w:rPr>
        <w:t>投标（响应）报价明细表</w:t>
      </w:r>
    </w:p>
    <w:p>
      <w:pPr>
        <w:pStyle w:val="null3"/>
        <w:jc w:val="left"/>
      </w:pPr>
      <w:r>
        <w:rPr/>
        <w:t>公司名称：</w:t>
      </w:r>
    </w:p>
    <w:p>
      <w:pPr>
        <w:pStyle w:val="null3"/>
        <w:jc w:val="left"/>
      </w:pPr>
      <w:r>
        <w:rPr/>
        <w:t>包号：</w:t>
      </w:r>
      <w:r>
        <w:rPr/>
        <w:t>1</w:t>
      </w:r>
    </w:p>
    <w:p>
      <w:pPr>
        <w:pStyle w:val="null3"/>
        <w:jc w:val="left"/>
      </w:pPr>
      <w:r>
        <w:rPr/>
        <w:t>项目编号：</w:t>
      </w:r>
      <w:r>
        <w:rPr/>
        <w:t>[350001]FJGGZY[GK]2024071</w:t>
      </w:r>
    </w:p>
    <w:p>
      <w:pPr>
        <w:pStyle w:val="null3"/>
        <w:jc w:val="left"/>
      </w:pPr>
      <w:r>
        <w:rPr/>
        <w:t>项目名称：</w:t>
      </w:r>
      <w:r>
        <w:rPr/>
        <w:t>福建省交通信息通信与应急处置中心云资源租赁服务</w:t>
      </w:r>
    </w:p>
    <w:p>
      <w:pPr>
        <w:pStyle w:val="null3"/>
        <w:jc w:val="left"/>
      </w:pPr>
      <w:r>
        <w:rPr/>
        <w:t xml:space="preserve"> 福建省交通信息通信与应急处置中心云资源租赁服务</w:t>
      </w:r>
    </w:p>
    <w:p>
      <w:pPr>
        <w:pStyle w:val="null3"/>
        <w:jc w:val="center"/>
      </w:pPr>
    </w:p>
    <w:tbl>
      <w:tblPr>
        <w:tblW w:w="0" w:type="auto"/>
        <w:tblBorders>
          <w:top w:val="single"/>
          <w:left w:val="single"/>
          <w:bottom w:val="single"/>
          <w:right w:val="single"/>
          <w:insideH w:val="single"/>
          <w:insideV w:val="single"/>
        </w:tblBorders>
      </w:tblPr>
      <w:tblGrid>
        <w:gridCol w:w="755"/>
        <w:gridCol w:w="755"/>
        <w:gridCol w:w="755"/>
        <w:gridCol w:w="755"/>
        <w:gridCol w:w="755"/>
        <w:gridCol w:w="755"/>
        <w:gridCol w:w="755"/>
        <w:gridCol w:w="755"/>
        <w:gridCol w:w="755"/>
        <w:gridCol w:w="755"/>
        <w:gridCol w:w="755"/>
      </w:tblGrid>
      <w:tr>
        <w:tc>
          <w:tcPr>
            <w:tcW w:type="dxa" w:w="755"/>
          </w:tcPr>
          <w:p>
            <w:pPr>
              <w:pStyle w:val="null3"/>
              <w:jc w:val="left"/>
            </w:pPr>
            <w:r>
              <w:rPr/>
              <w:t xml:space="preserve"> 序号</w:t>
            </w:r>
          </w:p>
        </w:tc>
        <w:tc>
          <w:tcPr>
            <w:tcW w:type="dxa" w:w="755"/>
          </w:tcPr>
          <w:p>
            <w:pPr>
              <w:pStyle w:val="null3"/>
              <w:jc w:val="left"/>
            </w:pPr>
            <w:r>
              <w:rPr/>
              <w:t xml:space="preserve"> 服务名称</w:t>
            </w:r>
          </w:p>
        </w:tc>
        <w:tc>
          <w:tcPr>
            <w:tcW w:type="dxa" w:w="755"/>
          </w:tcPr>
          <w:p>
            <w:pPr>
              <w:pStyle w:val="null3"/>
              <w:jc w:val="left"/>
            </w:pPr>
            <w:r>
              <w:rPr/>
              <w:t xml:space="preserve"> 服务范围</w:t>
            </w:r>
          </w:p>
        </w:tc>
        <w:tc>
          <w:tcPr>
            <w:tcW w:type="dxa" w:w="755"/>
          </w:tcPr>
          <w:p>
            <w:pPr>
              <w:pStyle w:val="null3"/>
              <w:jc w:val="left"/>
            </w:pPr>
            <w:r>
              <w:rPr/>
              <w:t xml:space="preserve"> 服务要求</w:t>
            </w:r>
          </w:p>
        </w:tc>
        <w:tc>
          <w:tcPr>
            <w:tcW w:type="dxa" w:w="755"/>
          </w:tcPr>
          <w:p>
            <w:pPr>
              <w:pStyle w:val="null3"/>
              <w:jc w:val="left"/>
            </w:pPr>
            <w:r>
              <w:rPr/>
              <w:t xml:space="preserve"> 服务时间</w:t>
            </w:r>
          </w:p>
        </w:tc>
        <w:tc>
          <w:tcPr>
            <w:tcW w:type="dxa" w:w="755"/>
          </w:tcPr>
          <w:p>
            <w:pPr>
              <w:pStyle w:val="null3"/>
              <w:jc w:val="left"/>
            </w:pPr>
            <w:r>
              <w:rPr/>
              <w:t xml:space="preserve"> 服务标准</w:t>
            </w:r>
          </w:p>
        </w:tc>
        <w:tc>
          <w:tcPr>
            <w:tcW w:type="dxa" w:w="755"/>
          </w:tcPr>
          <w:p>
            <w:pPr>
              <w:pStyle w:val="null3"/>
              <w:jc w:val="left"/>
            </w:pPr>
            <w:r>
              <w:rPr/>
              <w:t xml:space="preserve"> 最高限价</w:t>
            </w:r>
          </w:p>
        </w:tc>
        <w:tc>
          <w:tcPr>
            <w:tcW w:type="dxa" w:w="755"/>
          </w:tcPr>
          <w:p>
            <w:pPr>
              <w:pStyle w:val="null3"/>
              <w:jc w:val="left"/>
            </w:pPr>
            <w:r>
              <w:rPr/>
              <w:t xml:space="preserve"> 单价</w:t>
            </w:r>
          </w:p>
        </w:tc>
        <w:tc>
          <w:tcPr>
            <w:tcW w:type="dxa" w:w="755"/>
          </w:tcPr>
          <w:p>
            <w:pPr>
              <w:pStyle w:val="null3"/>
              <w:jc w:val="left"/>
            </w:pPr>
            <w:r>
              <w:rPr/>
              <w:t xml:space="preserve"> 数量</w:t>
            </w:r>
          </w:p>
        </w:tc>
        <w:tc>
          <w:tcPr>
            <w:tcW w:type="dxa" w:w="755"/>
          </w:tcPr>
          <w:p>
            <w:pPr>
              <w:pStyle w:val="null3"/>
              <w:jc w:val="left"/>
            </w:pPr>
            <w:r>
              <w:rPr/>
              <w:t xml:space="preserve"> 计量单位</w:t>
            </w:r>
          </w:p>
        </w:tc>
        <w:tc>
          <w:tcPr>
            <w:tcW w:type="dxa" w:w="755"/>
          </w:tcPr>
          <w:p>
            <w:pPr>
              <w:pStyle w:val="null3"/>
              <w:jc w:val="left"/>
            </w:pPr>
            <w:r>
              <w:rPr/>
              <w:t xml:space="preserve"> 总价</w:t>
            </w:r>
          </w:p>
        </w:tc>
      </w:tr>
      <w:tr>
        <w:tc>
          <w:tcPr>
            <w:tcW w:type="dxa" w:w="755"/>
          </w:tcPr>
          <w:p>
            <w:pPr>
              <w:pStyle w:val="null3"/>
              <w:jc w:val="left"/>
            </w:pPr>
            <w:r>
              <w:rPr/>
              <w:t xml:space="preserve"> 1</w:t>
            </w:r>
          </w:p>
        </w:tc>
        <w:tc>
          <w:tcPr>
            <w:tcW w:type="dxa" w:w="755"/>
          </w:tcPr>
          <w:p>
            <w:pPr>
              <w:pStyle w:val="null3"/>
              <w:jc w:val="left"/>
            </w:pPr>
            <w:r>
              <w:rPr/>
              <w:t xml:space="preserve"> 云主机VCPU</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1123879.6800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1232.0000</w:t>
            </w:r>
          </w:p>
        </w:tc>
        <w:tc>
          <w:tcPr>
            <w:tcW w:type="dxa" w:w="755"/>
          </w:tcPr>
          <w:p>
            <w:pPr>
              <w:pStyle w:val="null3"/>
              <w:jc w:val="left"/>
            </w:pPr>
            <w:r>
              <w:rPr/>
              <w:t xml:space="preserve"> 核</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2</w:t>
            </w:r>
          </w:p>
        </w:tc>
        <w:tc>
          <w:tcPr>
            <w:tcW w:type="dxa" w:w="755"/>
          </w:tcPr>
          <w:p>
            <w:pPr>
              <w:pStyle w:val="null3"/>
              <w:jc w:val="left"/>
            </w:pPr>
            <w:r>
              <w:rPr/>
              <w:t xml:space="preserve"> 云主机内存</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3023424.0000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2348.0000</w:t>
            </w:r>
          </w:p>
        </w:tc>
        <w:tc>
          <w:tcPr>
            <w:tcW w:type="dxa" w:w="755"/>
          </w:tcPr>
          <w:p>
            <w:pPr>
              <w:pStyle w:val="null3"/>
              <w:jc w:val="left"/>
            </w:pPr>
            <w:r>
              <w:rPr/>
              <w:t xml:space="preserve"> GB</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3</w:t>
            </w:r>
          </w:p>
        </w:tc>
        <w:tc>
          <w:tcPr>
            <w:tcW w:type="dxa" w:w="755"/>
          </w:tcPr>
          <w:p>
            <w:pPr>
              <w:pStyle w:val="null3"/>
              <w:jc w:val="left"/>
            </w:pPr>
            <w:r>
              <w:rPr/>
              <w:t xml:space="preserve"> 云主机硬盘</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839500.5888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53682.0000</w:t>
            </w:r>
          </w:p>
        </w:tc>
        <w:tc>
          <w:tcPr>
            <w:tcW w:type="dxa" w:w="755"/>
          </w:tcPr>
          <w:p>
            <w:pPr>
              <w:pStyle w:val="null3"/>
              <w:jc w:val="left"/>
            </w:pPr>
            <w:r>
              <w:rPr/>
              <w:t xml:space="preserve"> GB</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4</w:t>
            </w:r>
          </w:p>
        </w:tc>
        <w:tc>
          <w:tcPr>
            <w:tcW w:type="dxa" w:w="755"/>
          </w:tcPr>
          <w:p>
            <w:pPr>
              <w:pStyle w:val="null3"/>
              <w:jc w:val="left"/>
            </w:pPr>
            <w:r>
              <w:rPr/>
              <w:t xml:space="preserve"> 云存储硬盘</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948816.0000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83148.0000</w:t>
            </w:r>
          </w:p>
        </w:tc>
        <w:tc>
          <w:tcPr>
            <w:tcW w:type="dxa" w:w="755"/>
          </w:tcPr>
          <w:p>
            <w:pPr>
              <w:pStyle w:val="null3"/>
              <w:jc w:val="left"/>
            </w:pPr>
            <w:r>
              <w:rPr/>
              <w:t xml:space="preserve"> GB</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5</w:t>
            </w:r>
          </w:p>
        </w:tc>
        <w:tc>
          <w:tcPr>
            <w:tcW w:type="dxa" w:w="755"/>
          </w:tcPr>
          <w:p>
            <w:pPr>
              <w:pStyle w:val="null3"/>
              <w:jc w:val="left"/>
            </w:pPr>
            <w:r>
              <w:rPr/>
              <w:t xml:space="preserve"> 操作系统</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185428.8000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158.0000</w:t>
            </w:r>
          </w:p>
        </w:tc>
        <w:tc>
          <w:tcPr>
            <w:tcW w:type="dxa" w:w="755"/>
          </w:tcPr>
          <w:p>
            <w:pPr>
              <w:pStyle w:val="null3"/>
              <w:jc w:val="left"/>
            </w:pPr>
            <w:r>
              <w:rPr/>
              <w:t xml:space="preserve"> 套</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6</w:t>
            </w:r>
          </w:p>
        </w:tc>
        <w:tc>
          <w:tcPr>
            <w:tcW w:type="dxa" w:w="755"/>
          </w:tcPr>
          <w:p>
            <w:pPr>
              <w:pStyle w:val="null3"/>
              <w:jc w:val="left"/>
            </w:pPr>
            <w:r>
              <w:rPr/>
              <w:t xml:space="preserve"> 云负载均衡实例</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114048.0000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96.0000</w:t>
            </w:r>
          </w:p>
        </w:tc>
        <w:tc>
          <w:tcPr>
            <w:tcW w:type="dxa" w:w="755"/>
          </w:tcPr>
          <w:p>
            <w:pPr>
              <w:pStyle w:val="null3"/>
              <w:jc w:val="left"/>
            </w:pPr>
            <w:r>
              <w:rPr/>
              <w:t xml:space="preserve"> 个</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7</w:t>
            </w:r>
          </w:p>
        </w:tc>
        <w:tc>
          <w:tcPr>
            <w:tcW w:type="dxa" w:w="755"/>
          </w:tcPr>
          <w:p>
            <w:pPr>
              <w:pStyle w:val="null3"/>
              <w:jc w:val="left"/>
            </w:pPr>
            <w:r>
              <w:rPr/>
              <w:t xml:space="preserve"> ORACLE数据库集群服务实例</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1466100.0000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18.0000</w:t>
            </w:r>
          </w:p>
        </w:tc>
        <w:tc>
          <w:tcPr>
            <w:tcW w:type="dxa" w:w="755"/>
          </w:tcPr>
          <w:p>
            <w:pPr>
              <w:pStyle w:val="null3"/>
              <w:jc w:val="left"/>
            </w:pPr>
            <w:r>
              <w:rPr/>
              <w:t xml:space="preserve"> 个</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8</w:t>
            </w:r>
          </w:p>
        </w:tc>
        <w:tc>
          <w:tcPr>
            <w:tcW w:type="dxa" w:w="755"/>
          </w:tcPr>
          <w:p>
            <w:pPr>
              <w:pStyle w:val="null3"/>
              <w:jc w:val="left"/>
            </w:pPr>
            <w:r>
              <w:rPr/>
              <w:t xml:space="preserve"> 物理机 2路12核;96G内存;20TB硬盘;2*千兆网卡</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429235.2000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3.0000</w:t>
            </w:r>
          </w:p>
        </w:tc>
        <w:tc>
          <w:tcPr>
            <w:tcW w:type="dxa" w:w="755"/>
          </w:tcPr>
          <w:p>
            <w:pPr>
              <w:pStyle w:val="null3"/>
              <w:jc w:val="left"/>
            </w:pPr>
            <w:r>
              <w:rPr/>
              <w:t xml:space="preserve"> 台</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9</w:t>
            </w:r>
          </w:p>
        </w:tc>
        <w:tc>
          <w:tcPr>
            <w:tcW w:type="dxa" w:w="755"/>
          </w:tcPr>
          <w:p>
            <w:pPr>
              <w:pStyle w:val="null3"/>
              <w:jc w:val="left"/>
            </w:pPr>
            <w:r>
              <w:rPr/>
              <w:t xml:space="preserve"> 云备份服务数据库实例</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549789.1200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18.0000</w:t>
            </w:r>
          </w:p>
        </w:tc>
        <w:tc>
          <w:tcPr>
            <w:tcW w:type="dxa" w:w="755"/>
          </w:tcPr>
          <w:p>
            <w:pPr>
              <w:pStyle w:val="null3"/>
              <w:jc w:val="left"/>
            </w:pPr>
            <w:r>
              <w:rPr/>
              <w:t xml:space="preserve"> 个</w:t>
            </w:r>
          </w:p>
        </w:tc>
        <w:tc>
          <w:tcPr>
            <w:tcW w:type="dxa" w:w="755"/>
          </w:tcPr>
          <w:p>
            <w:pPr>
              <w:pStyle w:val="null3"/>
              <w:jc w:val="left"/>
            </w:pPr>
            <w:r>
              <w:rPr/>
              <w:t xml:space="preserve"> {供应商响应} </w:t>
            </w:r>
            <w:r>
              <w:rPr/>
              <w:t xml:space="preserve"> 元</w:t>
            </w:r>
          </w:p>
        </w:tc>
      </w:tr>
      <w:tr>
        <w:tc>
          <w:tcPr>
            <w:tcW w:type="dxa" w:w="755"/>
          </w:tcPr>
          <w:p>
            <w:pPr>
              <w:pStyle w:val="null3"/>
              <w:jc w:val="left"/>
            </w:pPr>
            <w:r>
              <w:rPr/>
              <w:t xml:space="preserve"> 10</w:t>
            </w:r>
          </w:p>
        </w:tc>
        <w:tc>
          <w:tcPr>
            <w:tcW w:type="dxa" w:w="755"/>
          </w:tcPr>
          <w:p>
            <w:pPr>
              <w:pStyle w:val="null3"/>
              <w:jc w:val="left"/>
            </w:pPr>
            <w:r>
              <w:rPr/>
              <w:t xml:space="preserve"> 云上服务提供一年的政务云上业务运维管理服务及应用安全保障服务</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{供应商响应}</w:t>
            </w:r>
          </w:p>
        </w:tc>
        <w:tc>
          <w:tcPr>
            <w:tcW w:type="dxa" w:w="755"/>
          </w:tcPr>
          <w:p>
            <w:pPr>
              <w:pStyle w:val="null3"/>
              <w:jc w:val="left"/>
            </w:pPr>
            <w:r>
              <w:rPr/>
              <w:t xml:space="preserve"> 288000.0000 </w:t>
            </w:r>
            <w:r>
              <w:rPr/>
              <w:t xml:space="preserve"> 元</w:t>
            </w:r>
          </w:p>
        </w:tc>
        <w:tc>
          <w:tcPr>
            <w:tcW w:type="dxa" w:w="755"/>
          </w:tcPr>
          <w:p>
            <w:pPr>
              <w:pStyle w:val="null3"/>
              <w:jc w:val="left"/>
            </w:pPr>
            <w:r>
              <w:rPr/>
              <w:t xml:space="preserve"> {=总价/数量} </w:t>
            </w:r>
            <w:r>
              <w:rPr/>
              <w:t xml:space="preserve"> 元</w:t>
            </w:r>
          </w:p>
        </w:tc>
        <w:tc>
          <w:tcPr>
            <w:tcW w:type="dxa" w:w="755"/>
          </w:tcPr>
          <w:p>
            <w:pPr>
              <w:pStyle w:val="null3"/>
              <w:jc w:val="left"/>
            </w:pPr>
            <w:r>
              <w:rPr/>
              <w:t xml:space="preserve"> 3.0000</w:t>
            </w:r>
          </w:p>
        </w:tc>
        <w:tc>
          <w:tcPr>
            <w:tcW w:type="dxa" w:w="755"/>
          </w:tcPr>
          <w:p>
            <w:pPr>
              <w:pStyle w:val="null3"/>
              <w:jc w:val="left"/>
            </w:pPr>
            <w:r>
              <w:rPr/>
              <w:t xml:space="preserve"> 项</w:t>
            </w:r>
          </w:p>
        </w:tc>
        <w:tc>
          <w:tcPr>
            <w:tcW w:type="dxa" w:w="755"/>
          </w:tcPr>
          <w:p>
            <w:pPr>
              <w:pStyle w:val="null3"/>
              <w:jc w:val="left"/>
            </w:pPr>
            <w:r>
              <w:rPr/>
              <w:t xml:space="preserve"> {供应商响应} </w:t>
            </w:r>
            <w:r>
              <w:rPr/>
              <w:t xml:space="preserve"> 元</w:t>
            </w:r>
          </w:p>
        </w:tc>
      </w:tr>
    </w:tbl>
    <w:p>
      <w:pPr>
        <w:pStyle w:val="null3"/>
        <w:jc w:val="left"/>
      </w:pPr>
      <w:r>
        <w:rPr/>
        <w:t>合计</w:t>
      </w:r>
      <w:r>
        <w:rPr/>
        <w:t>：</w:t>
      </w:r>
    </w:p>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pPr>
      <w:r>
        <w:rPr/>
        <w:t xml:space="preserve"> </w:t>
        <w:br/>
        <w:br w:type="page"/>
      </w:r>
    </w:p>
    <w:p>
      <w:pPr>
        <w:pStyle w:val="null3"/>
        <w:jc w:val="center"/>
        <w:outlineLvl w:val="2"/>
      </w:pPr>
      <w:r>
        <w:rPr>
          <w:sz w:val="28"/>
          <w:b/>
        </w:rPr>
        <w:t>三、招标文件规定的价格扣除证明材料（若有）</w:t>
      </w:r>
    </w:p>
    <w:p>
      <w:pPr>
        <w:pStyle w:val="null3"/>
        <w:jc w:val="center"/>
        <w:outlineLvl w:val="3"/>
      </w:pPr>
      <w:r>
        <w:rPr>
          <w:sz w:val="24"/>
          <w:b/>
        </w:rPr>
        <w:t>三-1优先类节能产品、环境标志产品价格扣除证明材料（若有）</w:t>
      </w:r>
    </w:p>
    <w:p>
      <w:pPr>
        <w:pStyle w:val="null3"/>
        <w:jc w:val="center"/>
        <w:outlineLvl w:val="3"/>
      </w:pPr>
      <w:r>
        <w:rPr>
          <w:sz w:val="24"/>
          <w:b/>
        </w:rPr>
        <w:t>三-1-①优先类节能产品、环境标志产品统计表（价格扣除适用，若有）</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产品名称</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pPr>
              <w:pStyle w:val="null3"/>
              <w:jc w:val="left"/>
            </w:pPr>
            <w:r>
              <w:rPr/>
              <w:t>供应商自行填写种类，并上传证明附件以便评审查看</w:t>
            </w: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r>
      <w:tr>
        <w:tc>
          <w:tcPr>
            <w:tcW w:type="dxa" w:w="1187"/>
          </w:tcPr>
          <w:p>
            <w:pPr>
              <w:pStyle w:val="null3"/>
              <w:jc w:val="left"/>
            </w:pPr>
            <w:r>
              <w:rPr/>
              <w:t>备注</w:t>
            </w:r>
          </w:p>
        </w:tc>
        <w:tc>
          <w:tcPr>
            <w:tcW w:type="dxa" w:w="3561"/>
            <w:gridSpan w:val="3"/>
          </w:tcPr>
          <w:p>
            <w:pPr>
              <w:pStyle w:val="null3"/>
              <w:jc w:val="left"/>
            </w:pPr>
          </w:p>
        </w:tc>
      </w:tr>
    </w:tbl>
    <w:p>
      <w:pPr>
        <w:pStyle w:val="null3"/>
        <w:jc w:val="left"/>
      </w:pPr>
      <w:r>
        <w:rPr/>
        <w:t>※注意：</w:t>
      </w:r>
    </w:p>
    <w:p>
      <w:pPr>
        <w:pStyle w:val="null3"/>
        <w:ind w:firstLine="480"/>
        <w:jc w:val="left"/>
      </w:pPr>
      <w:r>
        <w:rPr/>
        <w:t>1、对节能、环境标志产品计算价格扣除时，只依据电子投标（响应）文件“投标（响应）报价明细表”以及“优先类节能产品、环境标志产品证明材料（价格扣除适用，若有）。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3.3投标人(供应商)按照采购文件要求认真统计、计算。</w:t>
      </w:r>
    </w:p>
    <w:p>
      <w:pPr>
        <w:pStyle w:val="null3"/>
        <w:ind w:firstLine="480"/>
        <w:jc w:val="left"/>
      </w:pPr>
      <w:r>
        <w:rPr/>
        <w:t>3.4若无节能、环境标志产品，不填写本表。</w:t>
      </w:r>
    </w:p>
    <w:p>
      <w:pPr>
        <w:pStyle w:val="null3"/>
        <w:ind w:firstLine="480"/>
        <w:jc w:val="left"/>
      </w:pPr>
      <w:r>
        <w:rPr/>
        <w:t>3.5强制类节能产品不享受价格扣除。</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三-1-②优先类节能产品、环境标志产品证明材料（价格扣除适用，若有）</w:t>
      </w:r>
    </w:p>
    <w:p>
      <w:pPr>
        <w:pStyle w:val="null3"/>
        <w:jc w:val="center"/>
        <w:outlineLvl w:val="3"/>
      </w:pPr>
      <w:r>
        <w:rPr>
          <w:sz w:val="24"/>
          <w:b/>
        </w:rPr>
        <w:t>三-2小型、微型企业产品等价格扣除证明材料（若有）</w:t>
      </w:r>
    </w:p>
    <w:p>
      <w:pPr>
        <w:pStyle w:val="null3"/>
        <w:jc w:val="center"/>
        <w:outlineLvl w:val="3"/>
      </w:pPr>
      <w:r>
        <w:rPr>
          <w:sz w:val="24"/>
          <w:b/>
        </w:rPr>
        <w:t>三-2-①中小企业声明函（价格扣除适用，若有）</w:t>
      </w:r>
    </w:p>
    <w:p>
      <w:pPr>
        <w:pStyle w:val="null3"/>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三-2-②小型、微型企业等证明材料（价格扣除适用，若有）</w:t>
      </w:r>
    </w:p>
    <w:p>
      <w:pPr>
        <w:pStyle w:val="null3"/>
        <w:ind w:firstLine="480"/>
        <w:jc w:val="center"/>
      </w:pPr>
      <w:r>
        <w:rPr/>
        <w:t>编制说明</w:t>
      </w:r>
    </w:p>
    <w:p>
      <w:pPr>
        <w:pStyle w:val="null3"/>
        <w:ind w:firstLine="480"/>
        <w:jc w:val="left"/>
      </w:pPr>
      <w:r>
        <w:rPr/>
        <w:t>1、投标人为监狱企业的，根据其提供的由省级以上监狱管理局、戒毒管理局（含新疆生产建设兵团）出具的属于监狱企业的证明文件进行认定，监狱企业视同小型、微型企业。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2、投标人为残疾人福利性单位的，根据其提供的《残疾人福利性单位声明函》（格式附后）进行认定，残疾人福利性单位视同小型、微型企业。残疾人福利性单位属于小型、微型企业的，不重复享受政策。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sz w:val="24"/>
          <w:b/>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sz w:val="24"/>
          <w:b/>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sz w:val="28"/>
          <w:b/>
        </w:rPr>
        <w:t>封面格式(技术商务部分)</w:t>
      </w:r>
    </w:p>
    <w:p>
      <w:pPr>
        <w:pStyle w:val="null3"/>
        <w:jc w:val="center"/>
        <w:outlineLvl w:val="0"/>
      </w:pPr>
      <w:r>
        <w:rPr>
          <w:sz w:val="48"/>
          <w:b/>
        </w:rPr>
        <w:t>福建省政府采购投标文件</w:t>
      </w:r>
    </w:p>
    <w:p>
      <w:pPr>
        <w:pStyle w:val="null3"/>
        <w:jc w:val="center"/>
        <w:outlineLvl w:val="0"/>
      </w:pPr>
      <w:r>
        <w:rPr>
          <w:sz w:val="48"/>
          <w:b/>
        </w:rPr>
        <w:t>（技术商务部分）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sz w:val="28"/>
          <w:b/>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