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方正小标宋简体" w:hAnsi="黑体" w:eastAsia="方正小标宋简体" w:cs="宋体"/>
          <w:color w:val="auto"/>
          <w:kern w:val="0"/>
          <w:sz w:val="56"/>
          <w:szCs w:val="56"/>
        </w:rPr>
      </w:pPr>
      <w:r>
        <w:rPr>
          <w:rFonts w:hint="eastAsia" w:ascii="方正小标宋简体" w:hAnsi="黑体" w:eastAsia="方正小标宋简体" w:cs="宋体"/>
          <w:color w:val="auto"/>
          <w:kern w:val="0"/>
          <w:sz w:val="56"/>
          <w:szCs w:val="56"/>
        </w:rPr>
        <w:t>福建省</w:t>
      </w:r>
      <w:r>
        <w:rPr>
          <w:rFonts w:hint="eastAsia" w:ascii="方正小标宋简体" w:hAnsi="黑体" w:eastAsia="方正小标宋简体" w:cs="宋体"/>
          <w:color w:val="auto"/>
          <w:kern w:val="0"/>
          <w:sz w:val="56"/>
          <w:szCs w:val="56"/>
          <w:lang w:eastAsia="zh-CN"/>
        </w:rPr>
        <w:t>交通运输厅</w:t>
      </w:r>
      <w:r>
        <w:rPr>
          <w:rFonts w:hint="eastAsia" w:ascii="方正小标宋简体" w:hAnsi="黑体" w:eastAsia="方正小标宋简体" w:cs="宋体"/>
          <w:color w:val="auto"/>
          <w:kern w:val="0"/>
          <w:sz w:val="56"/>
          <w:szCs w:val="56"/>
        </w:rPr>
        <w:t>202</w:t>
      </w:r>
      <w:r>
        <w:rPr>
          <w:rFonts w:hint="eastAsia" w:ascii="方正小标宋简体" w:hAnsi="黑体" w:eastAsia="方正小标宋简体" w:cs="宋体"/>
          <w:color w:val="auto"/>
          <w:kern w:val="0"/>
          <w:sz w:val="56"/>
          <w:szCs w:val="56"/>
          <w:lang w:val="en-US" w:eastAsia="zh-CN"/>
        </w:rPr>
        <w:t>6</w:t>
      </w:r>
      <w:r>
        <w:rPr>
          <w:rFonts w:hint="eastAsia" w:ascii="方正小标宋简体" w:hAnsi="黑体" w:eastAsia="方正小标宋简体" w:cs="宋体"/>
          <w:color w:val="auto"/>
          <w:kern w:val="0"/>
          <w:sz w:val="56"/>
          <w:szCs w:val="56"/>
        </w:rPr>
        <w:t>年非税收入项目目录</w:t>
      </w:r>
    </w:p>
    <w:tbl>
      <w:tblPr>
        <w:tblStyle w:val="5"/>
        <w:tblW w:w="150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3"/>
        <w:gridCol w:w="3180"/>
        <w:gridCol w:w="2760"/>
        <w:gridCol w:w="4007"/>
        <w:gridCol w:w="37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tblHeader/>
          <w:jc w:val="center"/>
        </w:trPr>
        <w:tc>
          <w:tcPr>
            <w:tcW w:w="1343" w:type="dxa"/>
            <w:vMerge w:val="restart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3180" w:type="dxa"/>
            <w:vMerge w:val="restart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2760" w:type="dxa"/>
            <w:vMerge w:val="restart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  <w:t>执收（委托执收）单位</w:t>
            </w:r>
          </w:p>
        </w:tc>
        <w:tc>
          <w:tcPr>
            <w:tcW w:w="4007" w:type="dxa"/>
            <w:vMerge w:val="restart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  <w:t>政策文件</w:t>
            </w:r>
          </w:p>
        </w:tc>
        <w:tc>
          <w:tcPr>
            <w:tcW w:w="3768" w:type="dxa"/>
            <w:vMerge w:val="restart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2" w:hRule="atLeast"/>
          <w:jc w:val="center"/>
        </w:trPr>
        <w:tc>
          <w:tcPr>
            <w:tcW w:w="1343" w:type="dxa"/>
            <w:vMerge w:val="continue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180" w:type="dxa"/>
            <w:vMerge w:val="continue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Merge w:val="continue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007" w:type="dxa"/>
            <w:vMerge w:val="continue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768" w:type="dxa"/>
            <w:vMerge w:val="continue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9" w:hRule="atLeast"/>
          <w:jc w:val="center"/>
        </w:trPr>
        <w:tc>
          <w:tcPr>
            <w:tcW w:w="1343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黑体" w:hAnsi="黑体" w:eastAsia="黑体" w:cs="黑体"/>
                <w:color w:val="auto"/>
                <w:kern w:val="0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highlight w:val="none"/>
                <w:lang w:eastAsia="zh-CN"/>
              </w:rPr>
              <w:t>一</w:t>
            </w:r>
          </w:p>
        </w:tc>
        <w:tc>
          <w:tcPr>
            <w:tcW w:w="3180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黑体" w:hAnsi="黑体" w:eastAsia="黑体" w:cs="黑体"/>
                <w:color w:val="auto"/>
                <w:kern w:val="0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highlight w:val="none"/>
              </w:rPr>
              <w:t>行政事业性收费收入</w:t>
            </w:r>
          </w:p>
        </w:tc>
        <w:tc>
          <w:tcPr>
            <w:tcW w:w="2760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宋体" w:hAnsi="宋体" w:eastAsia="宋体" w:cs="宋体"/>
                <w:color w:val="auto"/>
                <w:kern w:val="0"/>
                <w:sz w:val="36"/>
                <w:szCs w:val="36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36"/>
                <w:szCs w:val="36"/>
                <w:highlight w:val="none"/>
              </w:rPr>
              <w:t>　</w:t>
            </w:r>
          </w:p>
        </w:tc>
        <w:tc>
          <w:tcPr>
            <w:tcW w:w="4007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3768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90" w:hRule="atLeast"/>
          <w:jc w:val="center"/>
        </w:trPr>
        <w:tc>
          <w:tcPr>
            <w:tcW w:w="1343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(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一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）</w:t>
            </w:r>
          </w:p>
        </w:tc>
        <w:tc>
          <w:tcPr>
            <w:tcW w:w="3180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交通运输行政事业性收费收入</w:t>
            </w:r>
          </w:p>
        </w:tc>
        <w:tc>
          <w:tcPr>
            <w:tcW w:w="2760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4007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3768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atLeast"/>
          <w:jc w:val="center"/>
        </w:trPr>
        <w:tc>
          <w:tcPr>
            <w:tcW w:w="1343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2"/>
                <w:highlight w:val="none"/>
              </w:rPr>
              <w:t>1</w:t>
            </w:r>
          </w:p>
        </w:tc>
        <w:tc>
          <w:tcPr>
            <w:tcW w:w="3180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考试考务费</w:t>
            </w:r>
          </w:p>
        </w:tc>
        <w:tc>
          <w:tcPr>
            <w:tcW w:w="2760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交通部门</w:t>
            </w:r>
          </w:p>
        </w:tc>
        <w:tc>
          <w:tcPr>
            <w:tcW w:w="4007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财综〔2010〕39号、财综〔2011〕10号、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闽发改价格函〔2023〕84号、闽发改价格函〔202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〕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27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7号、闽发改价格函〔202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〕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20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号、闽发改价格函〔202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〕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42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号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等</w:t>
            </w:r>
          </w:p>
        </w:tc>
        <w:tc>
          <w:tcPr>
            <w:tcW w:w="3768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包括经营性道路客货运输驾驶员从业资格考试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经营性道路客货运输驾驶员从业资格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（道路危险货物运输考试）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考试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、公路水运工程试验检测专业技术人员考试等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3" w:hRule="atLeast"/>
          <w:jc w:val="center"/>
        </w:trPr>
        <w:tc>
          <w:tcPr>
            <w:tcW w:w="1343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2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highlight w:val="none"/>
                <w:lang w:eastAsia="zh-CN"/>
              </w:rPr>
              <w:t>二</w:t>
            </w:r>
          </w:p>
        </w:tc>
        <w:tc>
          <w:tcPr>
            <w:tcW w:w="3180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highlight w:val="none"/>
              </w:rPr>
              <w:t>罚没收入</w:t>
            </w:r>
          </w:p>
        </w:tc>
        <w:tc>
          <w:tcPr>
            <w:tcW w:w="2760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36"/>
                <w:szCs w:val="36"/>
                <w:highlight w:val="none"/>
              </w:rPr>
              <w:t>　</w:t>
            </w:r>
          </w:p>
        </w:tc>
        <w:tc>
          <w:tcPr>
            <w:tcW w:w="4007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3768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60" w:hRule="atLeast"/>
          <w:jc w:val="center"/>
        </w:trPr>
        <w:tc>
          <w:tcPr>
            <w:tcW w:w="1343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一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）</w:t>
            </w:r>
          </w:p>
        </w:tc>
        <w:tc>
          <w:tcPr>
            <w:tcW w:w="3180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交通罚没收入</w:t>
            </w:r>
          </w:p>
        </w:tc>
        <w:tc>
          <w:tcPr>
            <w:tcW w:w="2760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交通部门</w:t>
            </w:r>
          </w:p>
        </w:tc>
        <w:tc>
          <w:tcPr>
            <w:tcW w:w="4007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《道路运输条例》《公路法》《建设工程质量管理条例》《建设工程安全生产管理条例》《福建省建设工程质量管理条例》等</w:t>
            </w:r>
          </w:p>
        </w:tc>
        <w:tc>
          <w:tcPr>
            <w:tcW w:w="3768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3" w:hRule="atLeast"/>
          <w:jc w:val="center"/>
        </w:trPr>
        <w:tc>
          <w:tcPr>
            <w:tcW w:w="1343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highlight w:val="none"/>
                <w:lang w:eastAsia="zh-CN"/>
              </w:rPr>
              <w:t>三</w:t>
            </w:r>
          </w:p>
        </w:tc>
        <w:tc>
          <w:tcPr>
            <w:tcW w:w="3180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highlight w:val="none"/>
              </w:rPr>
              <w:t>国有资本经营收入</w:t>
            </w:r>
          </w:p>
        </w:tc>
        <w:tc>
          <w:tcPr>
            <w:tcW w:w="2760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4007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3768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80" w:hRule="atLeast"/>
          <w:jc w:val="center"/>
        </w:trPr>
        <w:tc>
          <w:tcPr>
            <w:tcW w:w="1343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（一）</w:t>
            </w:r>
          </w:p>
        </w:tc>
        <w:tc>
          <w:tcPr>
            <w:tcW w:w="3180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利润收入</w:t>
            </w:r>
          </w:p>
        </w:tc>
        <w:tc>
          <w:tcPr>
            <w:tcW w:w="2760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各有关单位</w:t>
            </w:r>
          </w:p>
        </w:tc>
        <w:tc>
          <w:tcPr>
            <w:tcW w:w="4007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国发〔2007〕26号、闽财企〔2012〕6 号、闽财企〔2012〕48号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财预〔2016〕6号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、闽财规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〔20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25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〕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20号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等</w:t>
            </w:r>
          </w:p>
        </w:tc>
        <w:tc>
          <w:tcPr>
            <w:tcW w:w="3768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8" w:hRule="atLeast"/>
          <w:jc w:val="center"/>
        </w:trPr>
        <w:tc>
          <w:tcPr>
            <w:tcW w:w="1343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highlight w:val="none"/>
                <w:lang w:eastAsia="zh-CN"/>
              </w:rPr>
              <w:t>四</w:t>
            </w:r>
          </w:p>
        </w:tc>
        <w:tc>
          <w:tcPr>
            <w:tcW w:w="3180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highlight w:val="none"/>
              </w:rPr>
              <w:t>其他收入</w:t>
            </w:r>
          </w:p>
        </w:tc>
        <w:tc>
          <w:tcPr>
            <w:tcW w:w="2760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36"/>
                <w:szCs w:val="36"/>
                <w:highlight w:val="none"/>
              </w:rPr>
              <w:t>　</w:t>
            </w:r>
          </w:p>
        </w:tc>
        <w:tc>
          <w:tcPr>
            <w:tcW w:w="4007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3768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5" w:hRule="atLeast"/>
          <w:jc w:val="center"/>
        </w:trPr>
        <w:tc>
          <w:tcPr>
            <w:tcW w:w="1343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一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）</w:t>
            </w:r>
          </w:p>
        </w:tc>
        <w:tc>
          <w:tcPr>
            <w:tcW w:w="3180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其他收入</w:t>
            </w:r>
          </w:p>
        </w:tc>
        <w:tc>
          <w:tcPr>
            <w:tcW w:w="2760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各有关单位</w:t>
            </w:r>
          </w:p>
        </w:tc>
        <w:tc>
          <w:tcPr>
            <w:tcW w:w="4007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闽财综〔1999〕118号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闽财综〔2000〕109号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闽财综〔2001〕82号、闽价〔2002〕费664号、财综〔2004〕53号、闽财综〔2004〕75号、闽财综〔2007〕40号、闽价房〔2008〕343号、闽价费〔2010〕1号、闽</w:t>
            </w:r>
            <w:bookmarkStart w:id="0" w:name="_GoBack"/>
            <w:bookmarkEnd w:id="0"/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财综〔2011〕10号、闽价商〔2011〕432号、发改价格〔2012〕4095号、环办〔2013〕21号、闽价商〔2014〕191号、《福州市城市园林绿化管理办法》、闽财税函〔2019〕12号、闽财税〔2019〕32号、闽财税函〔2020〕1号、闽财税函〔2020〕12号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、闽财税函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〔202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〕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4号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等</w:t>
            </w:r>
          </w:p>
        </w:tc>
        <w:tc>
          <w:tcPr>
            <w:tcW w:w="3768" w:type="dxa"/>
            <w:shd w:val="clear" w:color="000000" w:fill="FFFFFF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包括脱硝电价收入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城市绿化赔偿收入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园林绿化补偿收入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公路路产损坏赔（补）偿收入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高速公路通行卡（CPC复合通行卡）遗失、损坏赔偿收入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社会保障卡遗失损坏赔偿收入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（省本级第三代社会保障卡遗失损坏赔偿收入免征）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  <w:t>等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。</w:t>
            </w:r>
          </w:p>
        </w:tc>
      </w:tr>
    </w:tbl>
    <w:p>
      <w:pPr>
        <w:ind w:firstLine="0" w:firstLineChars="0"/>
        <w:rPr>
          <w:rFonts w:hint="eastAsia" w:ascii="仿宋" w:hAnsi="仿宋" w:eastAsia="仿宋"/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1587" w:right="2098" w:bottom="1474" w:left="198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 w:start="3"/>
      <w:cols w:space="72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ind w:right="320" w:rightChars="10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FgAAAGRycy9QSwECFAAUAAAACACHTuJAs0lY7tAAAAAFAQAADwAAAAAAAAABACAAAAA4AAAA&#10;ZHJzL2Rvd25yZXYueG1sUEsBAhQAFAAAAAgAh07iQPWLh2QyAgAAYQQAAA4AAAAAAAAAAQAgAAAA&#10;NQEAAGRycy9lMm9Eb2MueG1s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ind w:right="320" w:rightChars="100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- 3 -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left="320" w:leftChars="100" w:right="0" w:firstLine="0" w:firstLineChars="0"/>
      <w:rPr>
        <w:rFonts w:hint="eastAsia"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ind w:left="320" w:leftChars="100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FgAAAGRycy9QSwECFAAUAAAACACHTuJAs0lY7tAAAAAFAQAADwAAAAAAAAABACAAAAA4AAAA&#10;ZHJzL2Rvd25yZXYueG1sUEsBAhQAFAAAAAgAh07iQOGA044yAgAAYQQAAA4AAAAAAAAAAQAgAAAA&#10;NQEAAGRycy9lMm9Eb2MueG1s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ind w:left="320" w:leftChars="100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ind w:left="320" w:leftChars="100" w:right="0" w:firstLine="0" w:firstLineChars="0"/>
                          </w:pPr>
                        </w:p>
                        <w:p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JIJGtD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ind w:left="320" w:leftChars="100" w:right="0" w:firstLine="0" w:firstLineChars="0"/>
                    </w:pPr>
                  </w:p>
                  <w:p/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BYAAABkcnMvUEsBAhQAFAAAAAgAh07iQM6pebnPAAAABQEAAA8AAAAAAAAAAQAg&#10;AAAAOAAAAGRycy9kb3ducmV2LnhtbFBLAQIUABQAAAAIAIdO4kAlkzSpyAEAAJkDAAAOAAAAAAAA&#10;AAEAIAAAADQ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0"/>
      </w:pBdr>
      <w:rPr>
        <w:rFonts w:hint="eastAsia"/>
      </w:rPr>
    </w:pPr>
    <w:r>
      <w:rPr>
        <w:rFonts w:hint="eastAsia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0"/>
      </w:pBdr>
      <w:rPr>
        <w:rFonts w:hint="eastAsia"/>
      </w:rPr>
    </w:pPr>
    <w:r>
      <w:rPr>
        <w:rFonts w:hint="eastAsia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243"/>
    <w:rsid w:val="000253FA"/>
    <w:rsid w:val="00027E6E"/>
    <w:rsid w:val="0006165A"/>
    <w:rsid w:val="00072E52"/>
    <w:rsid w:val="000744A4"/>
    <w:rsid w:val="000978BC"/>
    <w:rsid w:val="000B3399"/>
    <w:rsid w:val="000E6968"/>
    <w:rsid w:val="00116C7A"/>
    <w:rsid w:val="0013746F"/>
    <w:rsid w:val="00145C75"/>
    <w:rsid w:val="001538F6"/>
    <w:rsid w:val="001745DC"/>
    <w:rsid w:val="001851DD"/>
    <w:rsid w:val="001865AB"/>
    <w:rsid w:val="00195B6A"/>
    <w:rsid w:val="001A35A6"/>
    <w:rsid w:val="001B667D"/>
    <w:rsid w:val="002118C0"/>
    <w:rsid w:val="002269D4"/>
    <w:rsid w:val="00231764"/>
    <w:rsid w:val="00237DC9"/>
    <w:rsid w:val="00245BD9"/>
    <w:rsid w:val="00253BD6"/>
    <w:rsid w:val="00283713"/>
    <w:rsid w:val="002A3181"/>
    <w:rsid w:val="002B0483"/>
    <w:rsid w:val="002C0472"/>
    <w:rsid w:val="002C7F0A"/>
    <w:rsid w:val="002D060D"/>
    <w:rsid w:val="002D375A"/>
    <w:rsid w:val="002F19C0"/>
    <w:rsid w:val="002F32E4"/>
    <w:rsid w:val="00317448"/>
    <w:rsid w:val="00334DFB"/>
    <w:rsid w:val="00345192"/>
    <w:rsid w:val="00354EA9"/>
    <w:rsid w:val="003828FA"/>
    <w:rsid w:val="00396E4C"/>
    <w:rsid w:val="003A09E7"/>
    <w:rsid w:val="00410875"/>
    <w:rsid w:val="00413FB7"/>
    <w:rsid w:val="00423A13"/>
    <w:rsid w:val="00430031"/>
    <w:rsid w:val="00430145"/>
    <w:rsid w:val="00445CE2"/>
    <w:rsid w:val="00452C40"/>
    <w:rsid w:val="00461224"/>
    <w:rsid w:val="00470A69"/>
    <w:rsid w:val="0047292B"/>
    <w:rsid w:val="00472F9E"/>
    <w:rsid w:val="00475982"/>
    <w:rsid w:val="0048765D"/>
    <w:rsid w:val="004B2FE4"/>
    <w:rsid w:val="004D3B32"/>
    <w:rsid w:val="00520D3F"/>
    <w:rsid w:val="005911D6"/>
    <w:rsid w:val="005C7443"/>
    <w:rsid w:val="005E7243"/>
    <w:rsid w:val="005E7BDD"/>
    <w:rsid w:val="005F2570"/>
    <w:rsid w:val="0060455B"/>
    <w:rsid w:val="0066178F"/>
    <w:rsid w:val="00691574"/>
    <w:rsid w:val="006A3DF8"/>
    <w:rsid w:val="006E79A9"/>
    <w:rsid w:val="00702FAB"/>
    <w:rsid w:val="00726EF9"/>
    <w:rsid w:val="00734265"/>
    <w:rsid w:val="00755487"/>
    <w:rsid w:val="0079728D"/>
    <w:rsid w:val="007C193A"/>
    <w:rsid w:val="007C569E"/>
    <w:rsid w:val="007E5E0D"/>
    <w:rsid w:val="00803CCF"/>
    <w:rsid w:val="00804A05"/>
    <w:rsid w:val="0087156E"/>
    <w:rsid w:val="00875F2C"/>
    <w:rsid w:val="0088476D"/>
    <w:rsid w:val="00896B41"/>
    <w:rsid w:val="008A0FF1"/>
    <w:rsid w:val="008E2231"/>
    <w:rsid w:val="008E71C0"/>
    <w:rsid w:val="00906CEA"/>
    <w:rsid w:val="00916F60"/>
    <w:rsid w:val="00947253"/>
    <w:rsid w:val="00965B0F"/>
    <w:rsid w:val="00982794"/>
    <w:rsid w:val="00997049"/>
    <w:rsid w:val="009D268E"/>
    <w:rsid w:val="009E611E"/>
    <w:rsid w:val="009E7626"/>
    <w:rsid w:val="00A26E0B"/>
    <w:rsid w:val="00A75DE6"/>
    <w:rsid w:val="00A8598A"/>
    <w:rsid w:val="00A9035B"/>
    <w:rsid w:val="00A95F4A"/>
    <w:rsid w:val="00AB00BB"/>
    <w:rsid w:val="00AC190C"/>
    <w:rsid w:val="00AC3F61"/>
    <w:rsid w:val="00B31BED"/>
    <w:rsid w:val="00B47EE3"/>
    <w:rsid w:val="00BC54D6"/>
    <w:rsid w:val="00BE0177"/>
    <w:rsid w:val="00BF0FF3"/>
    <w:rsid w:val="00C11E5F"/>
    <w:rsid w:val="00C22D6F"/>
    <w:rsid w:val="00C34A5A"/>
    <w:rsid w:val="00C37F2A"/>
    <w:rsid w:val="00C52395"/>
    <w:rsid w:val="00C60497"/>
    <w:rsid w:val="00C673F1"/>
    <w:rsid w:val="00C74739"/>
    <w:rsid w:val="00C81EB3"/>
    <w:rsid w:val="00C909AD"/>
    <w:rsid w:val="00CB6A69"/>
    <w:rsid w:val="00D254D2"/>
    <w:rsid w:val="00D61369"/>
    <w:rsid w:val="00D61F6F"/>
    <w:rsid w:val="00DE3ED6"/>
    <w:rsid w:val="00DE7774"/>
    <w:rsid w:val="00E503FB"/>
    <w:rsid w:val="00E564DE"/>
    <w:rsid w:val="00E93B81"/>
    <w:rsid w:val="00EA0676"/>
    <w:rsid w:val="00EF2EEB"/>
    <w:rsid w:val="00EF42DE"/>
    <w:rsid w:val="00F952AF"/>
    <w:rsid w:val="00F954E9"/>
    <w:rsid w:val="00FC58D3"/>
    <w:rsid w:val="02015531"/>
    <w:rsid w:val="028528E4"/>
    <w:rsid w:val="04AC5B5A"/>
    <w:rsid w:val="0FEB6310"/>
    <w:rsid w:val="1F9B9375"/>
    <w:rsid w:val="216915F0"/>
    <w:rsid w:val="2EE4E1E9"/>
    <w:rsid w:val="33DF6AC3"/>
    <w:rsid w:val="3C732D21"/>
    <w:rsid w:val="3C7671BF"/>
    <w:rsid w:val="4103650A"/>
    <w:rsid w:val="43E8FF2E"/>
    <w:rsid w:val="4B3C5314"/>
    <w:rsid w:val="4E776090"/>
    <w:rsid w:val="4F9323ED"/>
    <w:rsid w:val="570E6174"/>
    <w:rsid w:val="5A815D32"/>
    <w:rsid w:val="5DF5346E"/>
    <w:rsid w:val="5FFB74E6"/>
    <w:rsid w:val="5FFF3AB4"/>
    <w:rsid w:val="67BA55DB"/>
    <w:rsid w:val="69DA1A60"/>
    <w:rsid w:val="6C7F63E9"/>
    <w:rsid w:val="76DF5B60"/>
    <w:rsid w:val="76FFAB4D"/>
    <w:rsid w:val="7CDE7641"/>
    <w:rsid w:val="7EEB2CD6"/>
    <w:rsid w:val="7EFF6425"/>
    <w:rsid w:val="7FDBF8D1"/>
    <w:rsid w:val="7FFB3B1E"/>
    <w:rsid w:val="7FFB88A8"/>
    <w:rsid w:val="7FFFFF27"/>
    <w:rsid w:val="B77BECB0"/>
    <w:rsid w:val="BFE7F990"/>
    <w:rsid w:val="BFEE5CB4"/>
    <w:rsid w:val="BFFF4B9C"/>
    <w:rsid w:val="C9FB471B"/>
    <w:rsid w:val="CFF311F5"/>
    <w:rsid w:val="D1AD8180"/>
    <w:rsid w:val="EF4BED2C"/>
    <w:rsid w:val="F5D9E138"/>
    <w:rsid w:val="F8DFC7C2"/>
    <w:rsid w:val="FDFE8642"/>
    <w:rsid w:val="FE7FD04A"/>
    <w:rsid w:val="FE9F022B"/>
    <w:rsid w:val="FE9F8ABC"/>
    <w:rsid w:val="FF4E7E13"/>
    <w:rsid w:val="FF7406BB"/>
    <w:rsid w:val="FF75AD05"/>
    <w:rsid w:val="FFBACA05"/>
    <w:rsid w:val="FFC93952"/>
    <w:rsid w:val="FFFF5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仿宋" w:asciiTheme="minorHAnsi" w:hAnsiTheme="minorHAnsi" w:eastAsiaTheme="minorEastAsia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rFonts w:ascii="Times New Roman" w:hAnsi="Times New Roman" w:eastAsia="仿宋" w:cs="Times New Roman"/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仿宋" w:cs="Times New Roman"/>
      <w:color w:val="000000"/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仿宋" w:cs="Times New Roman"/>
      <w:color w:val="000000"/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  <w:rPr>
      <w:rFonts w:ascii="Times New Roman" w:hAnsi="Times New Roman" w:eastAsia="宋体" w:cs="Times New Roman"/>
    </w:rPr>
  </w:style>
  <w:style w:type="character" w:customStyle="1" w:styleId="9">
    <w:name w:val="批注框文本 Char"/>
    <w:basedOn w:val="7"/>
    <w:link w:val="2"/>
    <w:qFormat/>
    <w:uiPriority w:val="0"/>
    <w:rPr>
      <w:rFonts w:ascii="Times New Roman" w:hAnsi="Times New Roman" w:eastAsia="仿宋" w:cs="Times New Roman"/>
      <w:sz w:val="18"/>
      <w:szCs w:val="18"/>
    </w:rPr>
  </w:style>
  <w:style w:type="paragraph" w:customStyle="1" w:styleId="10">
    <w:name w:val="正文 + 仿宋_GB2312"/>
    <w:basedOn w:val="1"/>
    <w:qFormat/>
    <w:uiPriority w:val="0"/>
    <w:pPr>
      <w:framePr w:hSpace="180" w:wrap="around" w:vAnchor="text" w:hAnchor="text" w:y="1"/>
      <w:spacing w:before="120" w:line="318" w:lineRule="atLeast"/>
      <w:jc w:val="center"/>
      <w:textAlignment w:val="bottom"/>
    </w:pPr>
    <w:rPr>
      <w:rFonts w:ascii="Times New Roman" w:hAnsi="Times New Roman" w:eastAsia="仿宋_GB2312" w:cs="Times New Roman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14238</Words>
  <Characters>17191</Characters>
  <Lines>1</Lines>
  <Paragraphs>1</Paragraphs>
  <TotalTime>83</TotalTime>
  <ScaleCrop>false</ScaleCrop>
  <LinksUpToDate>false</LinksUpToDate>
  <CharactersWithSpaces>17474</CharactersWithSpaces>
  <Application>WPS Office_11.8.2.12344_F1E327BC-269C-435d-A152-05C5408002CA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2019-12-29T20:26:00Z</dcterms:created>
  <dc:creator>duan z</dc:creator>
  <cp:lastModifiedBy>陈嘉嘉</cp:lastModifiedBy>
  <cp:lastPrinted>2026-04-26T03:47:00Z</cp:lastPrinted>
  <dcterms:modified xsi:type="dcterms:W3CDTF">2026-10-22T10:51:46Z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2052-11.8.2.12344</vt:lpwstr>
  </property>
  <property fmtid="{D5CDD505-2E9C-101B-9397-08002B2CF9AE}" pid="3" name="ICV">
    <vt:lpwstr>FE6E7953EE54C163AE9CD16A0DC4C7F3</vt:lpwstr>
  </property>
</Properties>
</file>